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«16» сентября 2024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4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Организационный комитет по подготовке и проведению общественных обсуждений по предоставлению </w:t>
      </w:r>
      <w:r>
        <w:rPr>
          <w:sz w:val="24"/>
          <w:szCs w:val="24"/>
          <w:u w:val="single"/>
        </w:rPr>
        <w:t xml:space="preserve">разреше</w:t>
      </w:r>
      <w:r>
        <w:rPr>
          <w:sz w:val="24"/>
          <w:szCs w:val="24"/>
          <w:u w:val="single"/>
        </w:rPr>
        <w:t xml:space="preserve">ния на условно разрешенный вид использования земельного участка, с к</w:t>
      </w:r>
      <w:r>
        <w:rPr>
          <w:sz w:val="24"/>
          <w:szCs w:val="24"/>
          <w:u w:val="single"/>
        </w:rPr>
        <w:t xml:space="preserve">адастровым номером: 22:69:030205:391, по адресу: Российская Федерация, Алтайский край, городской округ город Новоалтайск, город Новоалтайск,                                 улица Октябрьская, земельный участок 46 - «Обеспечение дорожного отдыха (4.9.1.2)».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9"/>
        <w:pBdr/>
        <w:spacing/>
        <w:ind w:firstLine="720"/>
        <w:jc w:val="both"/>
        <w:rPr/>
      </w:pPr>
      <w:r>
        <w:t xml:space="preserve">(организатор проведения общественных обсуждений)</w:t>
      </w:r>
      <w:r/>
    </w:p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54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по предоставлению разрешения на условно разрешенный вид использования земельного участка с кадастровым номером: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22:69:030205:391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по адре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су: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Российская Федерация, Алтайский край, городской округ город Новоалтайск, город Новоалтайск, улица Октябрьская, земельный участок 46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- «Обеспечение дорожного отдыха (4.9.1.2)»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на основании протокола общественн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ых обсуждений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«16» сентября 2024 г. №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2/2024.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79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39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49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Рассмотрев предложения и замечания </w:t>
      </w:r>
      <w:r>
        <w:rPr>
          <w:sz w:val="24"/>
          <w:szCs w:val="24"/>
          <w:u w:val="single"/>
        </w:rPr>
        <w:t xml:space="preserve">по предоставлению разреше</w:t>
      </w:r>
      <w:r>
        <w:rPr>
          <w:sz w:val="24"/>
          <w:szCs w:val="24"/>
          <w:u w:val="single"/>
        </w:rPr>
        <w:t xml:space="preserve">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22:69:030205:391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по адресу: </w:t>
      </w:r>
      <w:r>
        <w:rPr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Октябрьская, земельный участок 46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- «Обеспечение дорожного отдыха (4.9.1.2)»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9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9"/>
        <w:pBdr/>
        <w:spacing/>
        <w:ind/>
        <w:jc w:val="both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- отказать в предоставлении разрешения на</w:t>
      </w:r>
      <w:r>
        <w:rPr>
          <w:color w:val="auto"/>
          <w:sz w:val="24"/>
          <w:szCs w:val="24"/>
        </w:rPr>
        <w:t xml:space="preserve"> условно разрешенный вид использования земельного участка, </w:t>
      </w:r>
      <w:r>
        <w:rPr>
          <w:color w:val="auto"/>
          <w:sz w:val="24"/>
          <w:szCs w:val="24"/>
          <w:u w:val="single"/>
        </w:rPr>
        <w:t xml:space="preserve">с кадастровым номером: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  <w:t xml:space="preserve">22:69:030205:391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  <w:t xml:space="preserve">, </w:t>
      </w:r>
      <w:r>
        <w:rPr>
          <w:color w:val="auto"/>
          <w:sz w:val="24"/>
          <w:szCs w:val="24"/>
          <w:u w:val="single"/>
        </w:rPr>
        <w:t xml:space="preserve">по адресу: Российская Федерация, Алтайский край, городской округ город Новоалтайск, город Новоалтайск,                                 улица Октябрьская, земельный участок 46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  <w:t xml:space="preserve"> - «Обеспечение дорожного отдыха (4.9.1.2)»</w:t>
      </w:r>
      <w:r>
        <w:rPr>
          <w:color w:val="auto"/>
          <w:sz w:val="24"/>
          <w:szCs w:val="24"/>
          <w:u w:val="single"/>
        </w:rPr>
        <w:t xml:space="preserve"> по следующим основаниям:</w:t>
      </w:r>
      <w:r>
        <w:rPr>
          <w:color w:val="auto"/>
          <w:sz w:val="24"/>
          <w:szCs w:val="24"/>
          <w:u w:val="single"/>
        </w:rPr>
      </w:r>
      <w:r>
        <w:rPr>
          <w:color w:val="auto"/>
          <w:sz w:val="24"/>
          <w:szCs w:val="24"/>
          <w:u w:val="singl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u w:val="none"/>
        </w:rPr>
        <w:t xml:space="preserve">Земельный участок с кадастровым номером 22:69:030205:391, по адресу:</w:t>
      </w:r>
      <w:r>
        <w:rPr>
          <w:sz w:val="24"/>
          <w:szCs w:val="24"/>
          <w:u w:val="none"/>
        </w:rPr>
        <w:t xml:space="preserve"> Российская Федерация, Алтайский край, городской округ город Новоалтайск, город Новоалтайск, улица Октябрьская, земельный участок 46</w:t>
      </w:r>
      <w:r>
        <w:rPr>
          <w:sz w:val="24"/>
          <w:szCs w:val="24"/>
          <w:u w:val="none"/>
        </w:rPr>
        <w:t xml:space="preserve"> находится в водоохранной зоне реки Чесноковка. </w:t>
      </w:r>
      <w:r>
        <w:rPr>
          <w:sz w:val="24"/>
          <w:szCs w:val="24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В соответствии с </w:t>
      </w:r>
      <w:r>
        <w:rPr>
          <w:sz w:val="24"/>
          <w:szCs w:val="24"/>
          <w:u w:val="none"/>
        </w:rPr>
        <w:t xml:space="preserve">частью 1 статьи 65 Водного Кодекса Российской Федерации </w:t>
      </w:r>
      <w:r>
        <w:rPr>
          <w:sz w:val="24"/>
          <w:szCs w:val="24"/>
          <w:u w:val="none"/>
        </w:rPr>
        <w:t xml:space="preserve">              от 03.06.2006 №74-ФЗ</w:t>
      </w:r>
      <w:r>
        <w:rPr>
          <w:sz w:val="24"/>
          <w:szCs w:val="24"/>
          <w:u w:val="none"/>
        </w:rPr>
        <w:t xml:space="preserve"> (далее – ВК РФ)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</w:t>
      </w:r>
      <w:r>
        <w:rPr>
          <w:sz w:val="24"/>
          <w:szCs w:val="24"/>
          <w:u w:val="none"/>
        </w:rPr>
        <w:t xml:space="preserve">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>
        <w:rPr>
          <w:u w:val="none"/>
        </w:rPr>
      </w:r>
      <w:r>
        <w:rPr>
          <w:sz w:val="24"/>
          <w:szCs w:val="24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u w:val="none"/>
        </w:rPr>
        <w:t xml:space="preserve">С</w:t>
      </w:r>
      <w:r>
        <w:rPr>
          <w:sz w:val="24"/>
          <w:szCs w:val="24"/>
          <w:u w:val="none"/>
        </w:rPr>
        <w:t xml:space="preserve">огласно части 4 статьи 65 ВК РФ ширина водоохранной зоны рек или ручьев устанавливается от их истока для рек или ручьев протяженностью: 1) до десяти километров - в размере пятидесяти метров; 2) от десяти до пятидесяти километров - в размере ста метров; 3) </w:t>
      </w:r>
      <w:r>
        <w:rPr>
          <w:sz w:val="24"/>
          <w:szCs w:val="24"/>
          <w:u w:val="none"/>
        </w:rPr>
        <w:t xml:space="preserve">от пятидесяти километров и более - в размере двухсот метров.</w:t>
      </w:r>
      <w:r>
        <w:rPr>
          <w:sz w:val="24"/>
          <w:szCs w:val="24"/>
          <w:u w:val="none"/>
        </w:rPr>
        <w:t xml:space="preserve">;</w:t>
      </w:r>
      <w:r>
        <w:rPr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highlight w:val="none"/>
          <w:u w:val="none"/>
        </w:rPr>
        <w:t xml:space="preserve">Согласно пункту 5 части 15 статьи 65 </w:t>
      </w:r>
      <w:r>
        <w:rPr>
          <w:sz w:val="24"/>
          <w:szCs w:val="24"/>
          <w:u w:val="none"/>
        </w:rPr>
        <w:t xml:space="preserve">ВК РФ</w:t>
      </w:r>
      <w:r>
        <w:rPr>
          <w:sz w:val="24"/>
          <w:szCs w:val="24"/>
          <w:highlight w:val="none"/>
          <w:u w:val="none"/>
        </w:rPr>
        <w:t xml:space="preserve"> в границах водоохранных зон строительство и реконструкция</w:t>
      </w:r>
      <w:r>
        <w:rPr>
          <w:sz w:val="24"/>
          <w:szCs w:val="24"/>
          <w:highlight w:val="none"/>
          <w:u w:val="none"/>
        </w:rPr>
        <w:t xml:space="preserve">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</w:t>
      </w:r>
      <w:r>
        <w:rPr>
          <w:sz w:val="24"/>
          <w:szCs w:val="24"/>
          <w:highlight w:val="none"/>
          <w:u w:val="none"/>
        </w:rPr>
        <w:t xml:space="preserve"> числ</w:t>
      </w:r>
      <w:r>
        <w:rPr>
          <w:sz w:val="24"/>
          <w:szCs w:val="24"/>
          <w:highlight w:val="none"/>
          <w:u w:val="none"/>
        </w:rPr>
        <w:t xml:space="preserve">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запрещены;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highlight w:val="none"/>
          <w:u w:val="none"/>
        </w:rPr>
      </w:pP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u w:val="none"/>
        </w:rPr>
        <w:t xml:space="preserve">В силу части 16 статьи 65 </w:t>
      </w:r>
      <w:r>
        <w:rPr>
          <w:sz w:val="24"/>
          <w:szCs w:val="24"/>
          <w:u w:val="none"/>
        </w:rPr>
        <w:t xml:space="preserve">ВК РФ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highlight w:val="none"/>
          <w:u w:val="none"/>
        </w:rPr>
        <w:t xml:space="preserve">в </w:t>
      </w:r>
      <w:r>
        <w:rPr>
          <w:sz w:val="24"/>
          <w:szCs w:val="24"/>
          <w:highlight w:val="none"/>
          <w:u w:val="none"/>
        </w:rPr>
        <w:t xml:space="preserve">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</w:t>
      </w:r>
      <w:r>
        <w:rPr>
          <w:sz w:val="24"/>
          <w:szCs w:val="24"/>
          <w:highlight w:val="none"/>
          <w:u w:val="none"/>
        </w:rPr>
        <w:t xml:space="preserve"> засорения, заиления и истощения вод в соответствии с водным законодательством и законодательством в области охраны окружающей среды. </w:t>
      </w:r>
      <w:r>
        <w:rPr>
          <w:sz w:val="24"/>
          <w:szCs w:val="24"/>
          <w:highlight w:val="none"/>
          <w:u w:val="none"/>
        </w:rPr>
      </w:r>
      <w:r>
        <w:rPr>
          <w:sz w:val="24"/>
          <w:szCs w:val="24"/>
          <w:highlight w:val="none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highlight w:val="none"/>
          <w:u w:val="none"/>
        </w:rPr>
        <w:t xml:space="preserve">В соо</w:t>
      </w:r>
      <w:r>
        <w:rPr>
          <w:color w:val="000000" w:themeColor="text1"/>
          <w:sz w:val="24"/>
          <w:szCs w:val="24"/>
          <w:highlight w:val="none"/>
          <w:u w:val="none"/>
        </w:rPr>
        <w:t xml:space="preserve">тветствии с технико-экономическим обоснованием необходимости предоставления разрешения на условно разрешенный вид использования земельного участка с кадастровым номером 22:69:030205:391, расположенного по адресу: Алтайский край, г. Новоалтайск, ул. Октябрь</w:t>
      </w:r>
      <w:r>
        <w:rPr>
          <w:color w:val="000000" w:themeColor="text1"/>
          <w:sz w:val="24"/>
          <w:szCs w:val="24"/>
          <w:highlight w:val="none"/>
          <w:u w:val="none"/>
        </w:rPr>
        <w:t xml:space="preserve">ская, 46 от 24.07.2024, подготовленным ППФ «Протон», на данном участке планируется разместить объект капитального строительства с назначением «Объекты дорожного отдыха – размещение магазина сопутствующих товаров и организация услуг общественного питания», при этом требования </w:t>
      </w:r>
      <w:r>
        <w:rPr>
          <w:sz w:val="24"/>
          <w:szCs w:val="24"/>
          <w:highlight w:val="none"/>
          <w:u w:val="none"/>
        </w:rPr>
        <w:t xml:space="preserve">об оборудовании данного объекта </w:t>
      </w:r>
      <w:r>
        <w:rPr>
          <w:sz w:val="24"/>
          <w:szCs w:val="24"/>
          <w:highlight w:val="none"/>
          <w:u w:val="none"/>
        </w:rPr>
        <w:t xml:space="preserve">сооружениями, обеспечивающими охрану водных объектов от загрязнения,</w:t>
      </w:r>
      <w:r>
        <w:rPr>
          <w:sz w:val="24"/>
          <w:szCs w:val="24"/>
          <w:highlight w:val="none"/>
          <w:u w:val="none"/>
        </w:rPr>
        <w:t xml:space="preserve"> засорения, заиления и истощения вод в соответствии с </w:t>
      </w:r>
      <w:r>
        <w:rPr>
          <w:sz w:val="24"/>
          <w:szCs w:val="24"/>
          <w:u w:val="none"/>
        </w:rPr>
        <w:t xml:space="preserve">частью 16 статьи 65 </w:t>
      </w:r>
      <w:r>
        <w:rPr>
          <w:sz w:val="24"/>
          <w:szCs w:val="24"/>
          <w:u w:val="none"/>
        </w:rPr>
        <w:t xml:space="preserve">ВК РФ отсутствуют. </w:t>
      </w:r>
      <w:r>
        <w:rPr>
          <w:color w:val="000000" w:themeColor="text1"/>
          <w:sz w:val="24"/>
          <w:szCs w:val="24"/>
          <w:highlight w:val="none"/>
          <w:u w:val="none"/>
        </w:rPr>
      </w:r>
      <w:r>
        <w:rPr>
          <w:sz w:val="24"/>
          <w:szCs w:val="24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color w:val="000000" w:themeColor="text1"/>
          <w:sz w:val="24"/>
          <w:szCs w:val="24"/>
          <w:highlight w:val="none"/>
          <w:u w:val="none"/>
        </w:rPr>
      </w:pPr>
      <w:r>
        <w:rPr>
          <w:sz w:val="24"/>
          <w:szCs w:val="24"/>
          <w:u w:val="none"/>
        </w:rPr>
      </w:r>
      <w:r>
        <w:rPr>
          <w:color w:val="000000" w:themeColor="text1"/>
          <w:sz w:val="24"/>
          <w:szCs w:val="24"/>
          <w:highlight w:val="none"/>
          <w:u w:val="none"/>
        </w:rPr>
        <w:t xml:space="preserve">Фактически на данном земельном участке расположено временное сооружение (павильон шиномонтажа). Информация о сносе, переносе временного сооружения в т</w:t>
      </w:r>
      <w:r>
        <w:rPr>
          <w:color w:val="000000" w:themeColor="text1"/>
          <w:sz w:val="24"/>
          <w:szCs w:val="24"/>
          <w:highlight w:val="none"/>
          <w:u w:val="none"/>
        </w:rPr>
        <w:t xml:space="preserve">ехнико-экономическом обосновании от 24.07.2024</w:t>
      </w:r>
      <w:r>
        <w:rPr>
          <w:color w:val="000000" w:themeColor="text1"/>
          <w:sz w:val="24"/>
          <w:szCs w:val="24"/>
          <w:highlight w:val="none"/>
          <w:u w:val="none"/>
        </w:rPr>
        <w:t xml:space="preserve">, подготовленном ППФ «Протон»</w:t>
      </w:r>
      <w:r>
        <w:rPr>
          <w:color w:val="000000" w:themeColor="text1"/>
          <w:sz w:val="24"/>
          <w:szCs w:val="24"/>
          <w:highlight w:val="none"/>
          <w:u w:val="none"/>
        </w:rPr>
        <w:t xml:space="preserve"> отсутствует.</w:t>
      </w:r>
      <w:r>
        <w:rPr>
          <w:color w:val="000000" w:themeColor="text1"/>
          <w:sz w:val="24"/>
          <w:szCs w:val="24"/>
          <w:highlight w:val="none"/>
          <w:u w:val="none"/>
        </w:rPr>
      </w:r>
      <w:r>
        <w:rPr>
          <w:color w:val="000000" w:themeColor="text1"/>
          <w:sz w:val="24"/>
          <w:szCs w:val="24"/>
          <w:highlight w:val="none"/>
          <w:u w:val="none"/>
        </w:rPr>
      </w:r>
    </w:p>
    <w:p>
      <w:pPr>
        <w:pStyle w:val="849"/>
        <w:pBdr/>
        <w:spacing/>
        <w:ind w:right="0" w:firstLine="709"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highlight w:val="none"/>
          <w:u w:val="none"/>
        </w:rPr>
        <w:t xml:space="preserve">Исходя из того, что отсутствуют указания на необходимость</w:t>
      </w:r>
      <w:r>
        <w:rPr>
          <w:sz w:val="24"/>
          <w:szCs w:val="24"/>
          <w:highlight w:val="none"/>
          <w:u w:val="none"/>
        </w:rPr>
        <w:t xml:space="preserve"> оборудования объекта капитального строительства, планируемого к размещению на земельном участке </w:t>
      </w:r>
      <w:r>
        <w:rPr>
          <w:color w:val="auto"/>
          <w:sz w:val="24"/>
          <w:szCs w:val="24"/>
          <w:highlight w:val="none"/>
          <w:u w:val="none"/>
        </w:rPr>
        <w:t xml:space="preserve">с кадастровым номером 22:69:030205:391, </w:t>
      </w:r>
      <w:r>
        <w:rPr>
          <w:sz w:val="24"/>
          <w:szCs w:val="24"/>
          <w:highlight w:val="none"/>
          <w:u w:val="none"/>
        </w:rPr>
        <w:t xml:space="preserve">сооружениями, обеспечивающими охрану водных объектов от загрязнения,</w:t>
      </w:r>
      <w:r>
        <w:rPr>
          <w:sz w:val="24"/>
          <w:szCs w:val="24"/>
          <w:highlight w:val="none"/>
          <w:u w:val="none"/>
        </w:rPr>
        <w:t xml:space="preserve"> засорения, заиления и истощения вод в соответствии с </w:t>
      </w:r>
      <w:r>
        <w:rPr>
          <w:sz w:val="24"/>
          <w:szCs w:val="24"/>
          <w:u w:val="none"/>
        </w:rPr>
        <w:t xml:space="preserve">частью 16 статьи 65 </w:t>
      </w:r>
      <w:r>
        <w:rPr>
          <w:sz w:val="24"/>
          <w:szCs w:val="24"/>
          <w:u w:val="none"/>
        </w:rPr>
        <w:t xml:space="preserve">ВК РФ</w:t>
      </w:r>
      <w:r>
        <w:rPr>
          <w:sz w:val="24"/>
          <w:szCs w:val="24"/>
          <w:highlight w:val="white"/>
          <w:u w:val="none"/>
        </w:rPr>
        <w:t xml:space="preserve">,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п</w:t>
      </w:r>
      <w:r>
        <w:rPr>
          <w:color w:val="000000"/>
          <w:sz w:val="24"/>
          <w:szCs w:val="24"/>
        </w:rPr>
        <w:t xml:space="preserve">редоставление разрешения на</w:t>
      </w:r>
      <w:r>
        <w:rPr>
          <w:sz w:val="24"/>
          <w:szCs w:val="24"/>
        </w:rPr>
        <w:t xml:space="preserve"> условно разрешенный вид использования земельного участка </w:t>
      </w:r>
      <w:r>
        <w:rPr>
          <w:sz w:val="24"/>
          <w:szCs w:val="24"/>
          <w:u w:val="none"/>
        </w:rPr>
        <w:t xml:space="preserve">по адресу: Российская Федерация, Алтайский край, городской округ город Новоалтайск, город Новоалтайск, улица Октябрьская, земельный участок 46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«Обеспечение дорожного отдыха (4.9.1.2)»</w:t>
      </w:r>
      <w:r>
        <w:rPr>
          <w:sz w:val="24"/>
          <w:szCs w:val="24"/>
        </w:rPr>
        <w:t xml:space="preserve"> не представляется возможны</w:t>
      </w:r>
      <w:r>
        <w:rPr>
          <w:color w:val="000000" w:themeColor="text1"/>
          <w:sz w:val="24"/>
          <w:szCs w:val="24"/>
        </w:rPr>
        <w:t xml:space="preserve">м.</w:t>
      </w:r>
      <w:r>
        <w:rPr>
          <w:sz w:val="24"/>
          <w:szCs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</w:p>
    <w:p>
      <w:pPr>
        <w:pStyle w:val="849"/>
        <w:pBdr/>
        <w:spacing/>
        <w:ind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рекомендовать Главе города отказать в предоставлении разрешения на условно разрешенный вид использования земельного участка, </w:t>
      </w:r>
      <w:r>
        <w:rPr>
          <w:sz w:val="24"/>
          <w:szCs w:val="24"/>
          <w:u w:val="single"/>
        </w:rPr>
        <w:t xml:space="preserve">с кадастровым номером: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22:69:030205:391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по адресу: </w:t>
      </w:r>
      <w:r>
        <w:rPr>
          <w:sz w:val="24"/>
          <w:szCs w:val="24"/>
          <w:u w:val="single"/>
        </w:rPr>
        <w:t xml:space="preserve">Российская Федерация, Алтайский край, городской округ город Новоалтайск, город Новоалтайск, улица Октябрьская, земельный участок 46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- «Обеспечение дорожного отдыха (4.9.1.2)»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9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обсуждений                           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Table Grid Light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1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2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1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2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3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5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6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7">
    <w:name w:val="Heading 1"/>
    <w:basedOn w:val="849"/>
    <w:next w:val="849"/>
    <w:link w:val="8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8">
    <w:name w:val="Heading 2"/>
    <w:basedOn w:val="849"/>
    <w:next w:val="849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9">
    <w:name w:val="Heading 3"/>
    <w:basedOn w:val="849"/>
    <w:next w:val="849"/>
    <w:link w:val="8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0">
    <w:name w:val="Heading 4"/>
    <w:basedOn w:val="849"/>
    <w:next w:val="849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1">
    <w:name w:val="Heading 5"/>
    <w:basedOn w:val="849"/>
    <w:next w:val="849"/>
    <w:link w:val="8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2">
    <w:name w:val="Heading 6"/>
    <w:basedOn w:val="849"/>
    <w:next w:val="849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3">
    <w:name w:val="Heading 7"/>
    <w:basedOn w:val="849"/>
    <w:next w:val="849"/>
    <w:link w:val="8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4">
    <w:name w:val="Heading 8"/>
    <w:basedOn w:val="849"/>
    <w:next w:val="849"/>
    <w:link w:val="8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5">
    <w:name w:val="Heading 9"/>
    <w:basedOn w:val="849"/>
    <w:next w:val="849"/>
    <w:link w:val="8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numbering" w:styleId="807" w:default="1">
    <w:name w:val="No List"/>
    <w:uiPriority w:val="99"/>
    <w:semiHidden/>
    <w:unhideWhenUsed/>
    <w:pPr>
      <w:pBdr/>
      <w:spacing/>
      <w:ind/>
    </w:pPr>
  </w:style>
  <w:style w:type="character" w:styleId="808">
    <w:name w:val="Heading 1 Char"/>
    <w:basedOn w:val="806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9">
    <w:name w:val="Heading 2 Char"/>
    <w:basedOn w:val="806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0">
    <w:name w:val="Heading 3 Char"/>
    <w:basedOn w:val="806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1">
    <w:name w:val="Heading 4 Char"/>
    <w:basedOn w:val="806"/>
    <w:link w:val="8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2">
    <w:name w:val="Heading 5 Char"/>
    <w:basedOn w:val="806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3">
    <w:name w:val="Heading 6 Char"/>
    <w:basedOn w:val="806"/>
    <w:link w:val="8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4">
    <w:name w:val="Heading 7 Char"/>
    <w:basedOn w:val="806"/>
    <w:link w:val="8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5">
    <w:name w:val="Heading 8 Char"/>
    <w:basedOn w:val="806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6">
    <w:name w:val="Heading 9 Char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7">
    <w:name w:val="Title"/>
    <w:basedOn w:val="849"/>
    <w:next w:val="849"/>
    <w:link w:val="8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8">
    <w:name w:val="Title Char"/>
    <w:basedOn w:val="806"/>
    <w:link w:val="8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9">
    <w:name w:val="Subtitle"/>
    <w:basedOn w:val="849"/>
    <w:next w:val="849"/>
    <w:link w:val="8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0">
    <w:name w:val="Subtitle Char"/>
    <w:basedOn w:val="806"/>
    <w:link w:val="8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1">
    <w:name w:val="Quote"/>
    <w:basedOn w:val="849"/>
    <w:next w:val="849"/>
    <w:link w:val="8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2">
    <w:name w:val="Quote Char"/>
    <w:basedOn w:val="806"/>
    <w:link w:val="8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3">
    <w:name w:val="List Paragraph"/>
    <w:basedOn w:val="849"/>
    <w:uiPriority w:val="34"/>
    <w:qFormat/>
    <w:pPr>
      <w:pBdr/>
      <w:spacing/>
      <w:ind w:left="720"/>
      <w:contextualSpacing w:val="true"/>
    </w:pPr>
  </w:style>
  <w:style w:type="character" w:styleId="824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5">
    <w:name w:val="Intense Quote"/>
    <w:basedOn w:val="849"/>
    <w:next w:val="849"/>
    <w:link w:val="8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6">
    <w:name w:val="Intense Quote Char"/>
    <w:basedOn w:val="806"/>
    <w:link w:val="8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7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8">
    <w:name w:val="No Spacing"/>
    <w:basedOn w:val="849"/>
    <w:uiPriority w:val="1"/>
    <w:qFormat/>
    <w:pPr>
      <w:pBdr/>
      <w:spacing w:after="0" w:line="240" w:lineRule="auto"/>
      <w:ind/>
    </w:pPr>
  </w:style>
  <w:style w:type="character" w:styleId="829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0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831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832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3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4">
    <w:name w:val="Header"/>
    <w:basedOn w:val="849"/>
    <w:link w:val="8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5">
    <w:name w:val="Header Char"/>
    <w:basedOn w:val="806"/>
    <w:link w:val="834"/>
    <w:uiPriority w:val="99"/>
    <w:pPr>
      <w:pBdr/>
      <w:spacing/>
      <w:ind/>
    </w:pPr>
  </w:style>
  <w:style w:type="paragraph" w:styleId="836">
    <w:name w:val="Footer"/>
    <w:basedOn w:val="849"/>
    <w:link w:val="8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7">
    <w:name w:val="Footer Char"/>
    <w:basedOn w:val="806"/>
    <w:link w:val="836"/>
    <w:uiPriority w:val="99"/>
    <w:pPr>
      <w:pBdr/>
      <w:spacing/>
      <w:ind/>
    </w:pPr>
  </w:style>
  <w:style w:type="paragraph" w:styleId="838">
    <w:name w:val="Caption"/>
    <w:basedOn w:val="849"/>
    <w:next w:val="84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9">
    <w:name w:val="footnote text"/>
    <w:basedOn w:val="849"/>
    <w:link w:val="8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0">
    <w:name w:val="Footnote Text Char"/>
    <w:basedOn w:val="806"/>
    <w:link w:val="839"/>
    <w:uiPriority w:val="99"/>
    <w:semiHidden/>
    <w:pPr>
      <w:pBdr/>
      <w:spacing/>
      <w:ind/>
    </w:pPr>
    <w:rPr>
      <w:sz w:val="20"/>
      <w:szCs w:val="20"/>
    </w:rPr>
  </w:style>
  <w:style w:type="character" w:styleId="841">
    <w:name w:val="foot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842">
    <w:name w:val="endnote text"/>
    <w:basedOn w:val="849"/>
    <w:link w:val="8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3">
    <w:name w:val="Endnote Text Char"/>
    <w:basedOn w:val="806"/>
    <w:link w:val="842"/>
    <w:uiPriority w:val="99"/>
    <w:semiHidden/>
    <w:pPr>
      <w:pBdr/>
      <w:spacing/>
      <w:ind/>
    </w:pPr>
    <w:rPr>
      <w:sz w:val="20"/>
      <w:szCs w:val="20"/>
    </w:rPr>
  </w:style>
  <w:style w:type="character" w:styleId="844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character" w:styleId="845">
    <w:name w:val="Hyperlink"/>
    <w:basedOn w:val="8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6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7">
    <w:name w:val="TOC Heading"/>
    <w:uiPriority w:val="39"/>
    <w:unhideWhenUsed/>
    <w:pPr>
      <w:pBdr/>
      <w:spacing/>
      <w:ind/>
    </w:pPr>
  </w:style>
  <w:style w:type="paragraph" w:styleId="848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paragraph" w:styleId="849" w:default="1">
    <w:name w:val="Normal"/>
    <w:next w:val="849"/>
    <w:link w:val="849"/>
    <w:qFormat/>
    <w:pPr>
      <w:pBdr/>
      <w:spacing/>
      <w:ind/>
    </w:pPr>
    <w:rPr>
      <w:lang w:val="ru-RU" w:eastAsia="ru-RU" w:bidi="ar-SA"/>
    </w:rPr>
  </w:style>
  <w:style w:type="character" w:styleId="850">
    <w:name w:val="Основной шрифт абзаца"/>
    <w:next w:val="850"/>
    <w:link w:val="849"/>
    <w:semiHidden/>
    <w:pPr>
      <w:pBdr/>
      <w:spacing/>
      <w:ind/>
    </w:pPr>
  </w:style>
  <w:style w:type="table" w:styleId="851">
    <w:name w:val="Обычная таблица"/>
    <w:next w:val="851"/>
    <w:link w:val="84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9"/>
    <w:semiHidden/>
    <w:pPr>
      <w:pBdr/>
      <w:spacing/>
      <w:ind/>
    </w:pPr>
  </w:style>
  <w:style w:type="paragraph" w:styleId="853">
    <w:name w:val="ConsPlusNormal"/>
    <w:next w:val="853"/>
    <w:link w:val="849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4">
    <w:name w:val="ConsPlusNonformat"/>
    <w:next w:val="854"/>
    <w:link w:val="849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5">
    <w:name w:val="Текст выноски"/>
    <w:basedOn w:val="849"/>
    <w:next w:val="855"/>
    <w:link w:val="84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9</cp:revision>
  <dcterms:created xsi:type="dcterms:W3CDTF">2022-12-13T04:15:00Z</dcterms:created>
  <dcterms:modified xsi:type="dcterms:W3CDTF">2024-09-20T07:50:46Z</dcterms:modified>
  <cp:version>730895</cp:version>
</cp:coreProperties>
</file>