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работе отдела по развитию предпринимательства и рыночной инфраструктуры Администрации города Новоалтайска за 2024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и полномочиями</w:t>
      </w:r>
      <w:r>
        <w:rPr>
          <w:sz w:val="28"/>
          <w:szCs w:val="28"/>
        </w:rPr>
        <w:t xml:space="preserve"> отдела является </w:t>
      </w:r>
      <w:r>
        <w:rPr>
          <w:sz w:val="28"/>
          <w:szCs w:val="28"/>
        </w:rPr>
        <w:t xml:space="preserve">продвижение</w:t>
      </w:r>
      <w:r>
        <w:rPr>
          <w:sz w:val="28"/>
          <w:szCs w:val="28"/>
        </w:rPr>
        <w:t xml:space="preserve"> единой государственной политики по поддержке и развитию малого и среднего предпринимательства и потребительского рынка на территории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действующими положениями</w:t>
      </w:r>
      <w:r>
        <w:rPr>
          <w:sz w:val="28"/>
          <w:szCs w:val="28"/>
        </w:rPr>
        <w:t xml:space="preserve"> и должностными инструкциями. </w:t>
      </w:r>
      <w:r>
        <w:rPr>
          <w:sz w:val="28"/>
          <w:szCs w:val="28"/>
        </w:rPr>
        <w:t xml:space="preserve">Работа выстраивается на основании действующих нормативно -правовых актов Российской Федерации, законов Алтайского края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постановлений Адм</w:t>
      </w:r>
      <w:r>
        <w:rPr>
          <w:sz w:val="28"/>
          <w:szCs w:val="28"/>
        </w:rPr>
        <w:t xml:space="preserve">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комплексной поддержки субъектов малого и среднего предпринимательства на уровне органов местного самоуправления реализовывается через муниципальную программу поддержки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Цель Программы - создание благоприятных условий для развития малого </w:t>
      </w:r>
      <w:r>
        <w:rPr>
          <w:sz w:val="28"/>
          <w:szCs w:val="28"/>
        </w:rPr>
        <w:br/>
        <w:t xml:space="preserve">и среднего предпринимательства в городе Новоалтайске, а также увеличение </w:t>
      </w:r>
      <w:r>
        <w:rPr>
          <w:sz w:val="28"/>
          <w:szCs w:val="28"/>
        </w:rPr>
        <w:br/>
        <w:t xml:space="preserve">их конкурентоспособности.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информационно-консультацион</w:t>
      </w:r>
      <w:r>
        <w:rPr>
          <w:sz w:val="28"/>
          <w:szCs w:val="28"/>
        </w:rPr>
        <w:t xml:space="preserve">ной</w:t>
      </w:r>
      <w:r>
        <w:rPr>
          <w:sz w:val="28"/>
          <w:szCs w:val="28"/>
        </w:rPr>
        <w:t xml:space="preserve"> поддержки входит предоставление информации субъектам малого и среднего предпринимательства по вопросам ведения финансово - хозяйственной деятельности, взаимодействие </w:t>
        <w:br/>
        <w:t xml:space="preserve">с органами государственной власти и финансовой поддержки на территории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отдела </w:t>
      </w:r>
      <w:r>
        <w:rPr>
          <w:sz w:val="28"/>
          <w:szCs w:val="28"/>
        </w:rPr>
        <w:t xml:space="preserve">по развитию предпринимательства и рыночной инфраструктуры</w:t>
      </w:r>
      <w:r>
        <w:rPr>
          <w:sz w:val="28"/>
          <w:szCs w:val="28"/>
        </w:rPr>
        <w:t xml:space="preserve">, в рамках Соглашения</w:t>
      </w:r>
      <w:r>
        <w:rPr>
          <w:sz w:val="28"/>
          <w:szCs w:val="28"/>
        </w:rPr>
        <w:t xml:space="preserve"> с НК «</w:t>
      </w:r>
      <w:r>
        <w:rPr>
          <w:position w:val="2"/>
          <w:sz w:val="28"/>
          <w:szCs w:val="28"/>
        </w:rPr>
        <w:t xml:space="preserve">Алтайского</w:t>
      </w:r>
      <w:r>
        <w:rPr>
          <w:position w:val="2"/>
          <w:sz w:val="28"/>
          <w:szCs w:val="28"/>
        </w:rPr>
        <w:t xml:space="preserve"> Фонд</w:t>
      </w:r>
      <w:r>
        <w:rPr>
          <w:position w:val="2"/>
          <w:sz w:val="28"/>
          <w:szCs w:val="28"/>
        </w:rPr>
        <w:t xml:space="preserve">а</w:t>
      </w:r>
      <w:r>
        <w:rPr>
          <w:position w:val="2"/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работает информационно - консультационный центр, за </w:t>
      </w:r>
      <w:r>
        <w:rPr>
          <w:sz w:val="28"/>
          <w:szCs w:val="28"/>
        </w:rPr>
        <w:t xml:space="preserve">2024 год </w:t>
      </w:r>
      <w:r>
        <w:rPr>
          <w:sz w:val="28"/>
          <w:szCs w:val="28"/>
        </w:rPr>
        <w:t xml:space="preserve">проведено 532 </w:t>
      </w:r>
      <w:r>
        <w:rPr>
          <w:sz w:val="28"/>
          <w:szCs w:val="28"/>
        </w:rPr>
        <w:t xml:space="preserve"> консультации, что на 9,2 % больше</w:t>
        <w:br/>
        <w:t xml:space="preserve">чем в 2023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 Администрация города финансовой поддержки не оказывала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Вместе с тем, отделом проводится активное </w:t>
      </w:r>
      <w:r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по краевым программам, в результате,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линии Министерства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сельского хозяйства</w:t>
        <w:br/>
        <w:t xml:space="preserve">Алтайского края, ООО «Русский овощ» </w:t>
      </w:r>
      <w:r>
        <w:rPr>
          <w:color w:val="000000" w:themeColor="text1"/>
          <w:sz w:val="28"/>
          <w:szCs w:val="28"/>
          <w:highlight w:val="white"/>
        </w:rPr>
        <w:t xml:space="preserve">получил </w:t>
      </w:r>
      <w:r>
        <w:rPr>
          <w:color w:val="000000" w:themeColor="text1"/>
          <w:sz w:val="28"/>
          <w:szCs w:val="28"/>
          <w:highlight w:val="white"/>
        </w:rPr>
        <w:t xml:space="preserve">субсидий и грантов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  <w:t xml:space="preserve">в размере 14,8 млн.руб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В части популяризации предпринимательства </w:t>
      </w:r>
      <w:r>
        <w:rPr>
          <w:sz w:val="28"/>
          <w:szCs w:val="28"/>
          <w:highlight w:val="white"/>
        </w:rPr>
        <w:t xml:space="preserve">прове</w:t>
      </w:r>
      <w:r>
        <w:rPr>
          <w:sz w:val="28"/>
          <w:szCs w:val="28"/>
          <w:highlight w:val="none"/>
        </w:rPr>
        <w:t xml:space="preserve">дена </w:t>
      </w:r>
      <w:r>
        <w:rPr>
          <w:sz w:val="28"/>
          <w:szCs w:val="28"/>
          <w:highlight w:val="none"/>
          <w:lang w:val="en-US"/>
        </w:rPr>
        <w:t xml:space="preserve">X</w:t>
      </w:r>
      <w:r>
        <w:rPr>
          <w:sz w:val="28"/>
          <w:szCs w:val="28"/>
          <w:highlight w:val="none"/>
        </w:rPr>
        <w:t xml:space="preserve">Х</w:t>
      </w:r>
      <w:r>
        <w:rPr>
          <w:sz w:val="28"/>
          <w:szCs w:val="28"/>
          <w:highlight w:val="none"/>
        </w:rPr>
        <w:t xml:space="preserve"> выставка -продажа «Наша продукция», в рамках которой приняли участие более </w:t>
        <w:br/>
        <w:t xml:space="preserve">50 товаропроизводителей Алтайского края.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Создан и действует </w:t>
      </w:r>
      <w:r>
        <w:rPr>
          <w:sz w:val="28"/>
          <w:szCs w:val="28"/>
          <w:highlight w:val="none"/>
        </w:rPr>
        <w:t xml:space="preserve">Общественный совет по развитию предпринимательства при Администрации города</w:t>
      </w:r>
      <w:r>
        <w:rPr>
          <w:sz w:val="28"/>
          <w:szCs w:val="28"/>
          <w:highlight w:val="none"/>
        </w:rPr>
        <w:t xml:space="preserve">. В </w:t>
      </w:r>
      <w:r>
        <w:rPr>
          <w:sz w:val="28"/>
          <w:szCs w:val="28"/>
          <w:highlight w:val="none"/>
        </w:rPr>
        <w:t xml:space="preserve">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none"/>
        </w:rPr>
        <w:t xml:space="preserve"> году состоялось четыре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заседани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 Общественного совета, взаимодействие также осуществляется </w:t>
      </w:r>
      <w:r>
        <w:rPr>
          <w:sz w:val="28"/>
          <w:szCs w:val="28"/>
          <w:highlight w:val="none"/>
        </w:rPr>
        <w:t xml:space="preserve">в дистанционном формате.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На итоговом заседании Общественного совета по ра</w:t>
      </w:r>
      <w:r>
        <w:rPr>
          <w:sz w:val="28"/>
          <w:szCs w:val="28"/>
          <w:highlight w:val="none"/>
        </w:rPr>
        <w:t xml:space="preserve">звитию предпринимательства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Администрации города </w:t>
      </w:r>
      <w:r>
        <w:rPr>
          <w:sz w:val="28"/>
          <w:szCs w:val="28"/>
          <w:highlight w:val="none"/>
        </w:rPr>
        <w:t xml:space="preserve">утвержден план работы </w:t>
        <w:br/>
        <w:t xml:space="preserve">на 2025 год.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Для СМП совместно с </w:t>
      </w:r>
      <w:r>
        <w:rPr>
          <w:sz w:val="28"/>
          <w:szCs w:val="28"/>
          <w:highlight w:val="none"/>
        </w:rPr>
        <w:t xml:space="preserve">сотрудниками прокуратуры города, </w:t>
      </w:r>
      <w:r>
        <w:rPr>
          <w:sz w:val="28"/>
          <w:szCs w:val="28"/>
          <w:highlight w:val="none"/>
        </w:rPr>
        <w:t xml:space="preserve">ТО Управления Роспотребнадзора,</w:t>
      </w:r>
      <w:r>
        <w:rPr>
          <w:sz w:val="28"/>
          <w:szCs w:val="28"/>
          <w:highlight w:val="none"/>
        </w:rPr>
        <w:t xml:space="preserve"> ОМВД России, Центром занятости, </w:t>
      </w:r>
      <w:r>
        <w:rPr>
          <w:sz w:val="28"/>
          <w:szCs w:val="28"/>
          <w:highlight w:val="none"/>
        </w:rPr>
        <w:t xml:space="preserve">налоговой проведен обучающий семинар в актовом зале Администрации. </w:t>
      </w:r>
      <w:r>
        <w:rPr>
          <w:sz w:val="28"/>
          <w:szCs w:val="28"/>
          <w:highlight w:val="none"/>
        </w:rPr>
        <w:t xml:space="preserve">Рассмотрены</w:t>
      </w:r>
      <w:r>
        <w:rPr>
          <w:sz w:val="28"/>
          <w:szCs w:val="28"/>
          <w:highlight w:val="none"/>
        </w:rPr>
        <w:t xml:space="preserve"> актуальные</w:t>
      </w:r>
      <w:r>
        <w:rPr>
          <w:sz w:val="28"/>
          <w:szCs w:val="28"/>
          <w:highlight w:val="none"/>
        </w:rPr>
        <w:t xml:space="preserve"> вопросы и </w:t>
      </w:r>
      <w:r>
        <w:rPr>
          <w:sz w:val="28"/>
          <w:szCs w:val="28"/>
          <w:highlight w:val="none"/>
        </w:rPr>
        <w:t xml:space="preserve">изменения законодательства.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течении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 xml:space="preserve">НК «Алтайского</w:t>
      </w:r>
      <w:r>
        <w:rPr>
          <w:rFonts w:ascii="Times New Roman" w:hAnsi="Times New Roman"/>
          <w:position w:val="2"/>
          <w:sz w:val="28"/>
          <w:szCs w:val="28"/>
        </w:rPr>
        <w:t xml:space="preserve"> Фонд</w:t>
      </w:r>
      <w:r>
        <w:rPr>
          <w:rFonts w:ascii="Times New Roman" w:hAnsi="Times New Roman"/>
          <w:position w:val="2"/>
          <w:sz w:val="28"/>
          <w:szCs w:val="28"/>
        </w:rPr>
        <w:t xml:space="preserve">а</w:t>
      </w:r>
      <w:r>
        <w:rPr>
          <w:rFonts w:ascii="Times New Roman" w:hAnsi="Times New Roman"/>
          <w:position w:val="2"/>
          <w:sz w:val="28"/>
          <w:szCs w:val="28"/>
        </w:rPr>
        <w:t xml:space="preserve"> развития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лекции, </w:t>
      </w:r>
      <w:r>
        <w:rPr>
          <w:rFonts w:ascii="Times New Roman" w:hAnsi="Times New Roman"/>
          <w:sz w:val="28"/>
          <w:szCs w:val="28"/>
        </w:rPr>
        <w:t xml:space="preserve">консультационные мероприятия и </w:t>
      </w:r>
      <w:r>
        <w:rPr>
          <w:rFonts w:ascii="Times New Roman" w:hAnsi="Times New Roman"/>
          <w:sz w:val="28"/>
          <w:szCs w:val="28"/>
        </w:rPr>
        <w:t xml:space="preserve">видеосеминары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предпринимателей по актуальным вопросам ведения предпринимательской деятельности и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м действующего законодательства, на всех мероприятиях обеспечено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Новоалтайских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предпринимателей.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организовано 34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универсальны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 тематически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ярмарочных дня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В ярмарке принимают участие товаропроизводители и предприниматели города Новоалтайска и Алтайского края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На территории города продолжают свою деятельность </w:t>
      </w:r>
      <w:r>
        <w:rPr>
          <w:sz w:val="28"/>
          <w:szCs w:val="28"/>
        </w:rPr>
        <w:br/>
        <w:t xml:space="preserve">две постоянно действующие ярмарки ООО «Старый рынок» Рынок Октябрьский (</w:t>
      </w:r>
      <w:r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 xml:space="preserve">на право организации розничного рынка ООО «Старый рынок» действительно </w:t>
      </w:r>
      <w:r>
        <w:rPr>
          <w:sz w:val="28"/>
          <w:szCs w:val="28"/>
        </w:rPr>
        <w:t xml:space="preserve">до 31.12.2028</w:t>
      </w:r>
      <w:r>
        <w:rPr>
          <w:sz w:val="28"/>
          <w:szCs w:val="28"/>
        </w:rPr>
        <w:t xml:space="preserve">) и ООО «Кварц» ТЦ «Альфа» </w:t>
      </w:r>
      <w:r>
        <w:rPr>
          <w:sz w:val="28"/>
          <w:szCs w:val="28"/>
        </w:rPr>
        <w:t xml:space="preserve">(разрешение на организацию ярмарки действительно до 31.12.2027 года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на постоянной основе о</w:t>
      </w:r>
      <w:r>
        <w:rPr>
          <w:sz w:val="28"/>
          <w:szCs w:val="28"/>
        </w:rPr>
        <w:t xml:space="preserve">существляется контроль схемы размещения нестационарных торговых объектов на территории города Новоалтайска. </w:t>
      </w:r>
      <w:r>
        <w:rPr>
          <w:sz w:val="28"/>
          <w:szCs w:val="28"/>
        </w:rPr>
        <w:t xml:space="preserve">Проведено 5</w:t>
      </w:r>
      <w:r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по размещению </w:t>
      </w:r>
      <w:r>
        <w:rPr>
          <w:sz w:val="28"/>
          <w:szCs w:val="28"/>
        </w:rPr>
        <w:t xml:space="preserve">НТО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которых были рассмотрены проблемные вопросы размещения </w:t>
      </w:r>
      <w:r>
        <w:rPr>
          <w:sz w:val="28"/>
          <w:szCs w:val="28"/>
        </w:rPr>
        <w:t xml:space="preserve">НТО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исполнения действующего законодательства Российской Федерации, </w:t>
      </w:r>
      <w:r>
        <w:rPr>
          <w:sz w:val="28"/>
          <w:szCs w:val="28"/>
        </w:rPr>
        <w:t xml:space="preserve">в результате проведена корректировка</w:t>
      </w:r>
      <w:r>
        <w:rPr>
          <w:sz w:val="28"/>
          <w:szCs w:val="28"/>
        </w:rPr>
        <w:t xml:space="preserve"> действующей схемы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заседаний комиссии и рабочих групп </w:t>
      </w:r>
      <w:r>
        <w:rPr>
          <w:sz w:val="28"/>
          <w:szCs w:val="28"/>
        </w:rPr>
        <w:t xml:space="preserve">по размещению </w:t>
      </w:r>
      <w:r>
        <w:rPr>
          <w:sz w:val="28"/>
          <w:szCs w:val="28"/>
        </w:rPr>
        <w:t xml:space="preserve">НТО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согласована</w:t>
      </w:r>
      <w:r>
        <w:rPr>
          <w:sz w:val="28"/>
          <w:szCs w:val="28"/>
        </w:rPr>
        <w:t xml:space="preserve"> торговля и оказан</w:t>
      </w:r>
      <w:r>
        <w:rPr>
          <w:sz w:val="28"/>
          <w:szCs w:val="28"/>
          <w:highlight w:val="white"/>
        </w:rPr>
        <w:t xml:space="preserve">ие услуг </w:t>
      </w:r>
      <w:r>
        <w:rPr>
          <w:sz w:val="28"/>
          <w:szCs w:val="28"/>
          <w:highlight w:val="white"/>
        </w:rPr>
        <w:t xml:space="preserve">на 42</w:t>
      </w:r>
      <w:r>
        <w:rPr>
          <w:sz w:val="28"/>
          <w:szCs w:val="28"/>
          <w:highlight w:val="white"/>
        </w:rPr>
        <w:t xml:space="preserve"> сезонных торговых точках,</w:t>
      </w:r>
      <w:r>
        <w:rPr>
          <w:sz w:val="28"/>
          <w:szCs w:val="28"/>
          <w:highlight w:val="white"/>
        </w:rPr>
        <w:t xml:space="preserve"> </w:t>
        <w:br/>
        <w:t xml:space="preserve">2</w:t>
      </w:r>
      <w:r>
        <w:rPr>
          <w:sz w:val="28"/>
          <w:szCs w:val="28"/>
          <w:highlight w:val="white"/>
        </w:rPr>
        <w:t xml:space="preserve"> па</w:t>
      </w:r>
      <w:r>
        <w:rPr>
          <w:sz w:val="28"/>
          <w:szCs w:val="28"/>
          <w:highlight w:val="white"/>
        </w:rPr>
        <w:t xml:space="preserve">вильонов и 5 киосков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1"/>
        <w:ind w:left="0" w:right="0"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города Новоалтайска </w:t>
      </w:r>
      <w:r>
        <w:rPr>
          <w:sz w:val="28"/>
          <w:szCs w:val="28"/>
        </w:rPr>
        <w:t xml:space="preserve">проходит «Оценка регулирующего воздействия». В</w:t>
      </w:r>
      <w:r>
        <w:rPr>
          <w:sz w:val="28"/>
          <w:szCs w:val="28"/>
        </w:rPr>
        <w:t xml:space="preserve"> 2024 году оценку НПА 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  <w:highlight w:val="white"/>
        </w:rPr>
        <w:t xml:space="preserve">шли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Новоалтайска.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осуществляет </w:t>
      </w:r>
      <w:r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 xml:space="preserve">оперативный мониторинг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состоянием и динамикой развития субъектов малого и среднего предпринимательства на </w:t>
      </w:r>
      <w:r>
        <w:rPr>
          <w:sz w:val="28"/>
          <w:szCs w:val="28"/>
        </w:rPr>
        <w:t xml:space="preserve">территории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white"/>
        </w:rPr>
        <w:t xml:space="preserve">По </w:t>
      </w:r>
      <w:r>
        <w:rPr>
          <w:b/>
          <w:sz w:val="28"/>
          <w:szCs w:val="28"/>
          <w:highlight w:val="white"/>
        </w:rPr>
        <w:t xml:space="preserve">оперативным данным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.01.2025</w:t>
      </w:r>
      <w:r>
        <w:rPr>
          <w:sz w:val="28"/>
          <w:szCs w:val="28"/>
          <w:highlight w:val="white"/>
        </w:rPr>
        <w:t xml:space="preserve"> число субъектов малого и среднего предпринимательства </w:t>
      </w:r>
      <w:r>
        <w:rPr>
          <w:sz w:val="28"/>
          <w:szCs w:val="28"/>
          <w:highlight w:val="white"/>
        </w:rPr>
        <w:t xml:space="preserve">сос</w:t>
      </w:r>
      <w:r>
        <w:rPr>
          <w:sz w:val="28"/>
          <w:szCs w:val="28"/>
          <w:highlight w:val="white"/>
        </w:rPr>
        <w:t xml:space="preserve">тавляет</w:t>
      </w:r>
      <w:r>
        <w:rPr>
          <w:sz w:val="28"/>
          <w:szCs w:val="28"/>
          <w:highlight w:val="white"/>
        </w:rPr>
        <w:t xml:space="preserve"> 2161</w:t>
      </w:r>
      <w:r>
        <w:rPr>
          <w:sz w:val="28"/>
          <w:szCs w:val="28"/>
          <w:highlight w:val="white"/>
          <w:lang w:val="en-US"/>
        </w:rPr>
        <w:t xml:space="preserve"> </w:t>
      </w:r>
      <w:r>
        <w:rPr>
          <w:sz w:val="28"/>
          <w:szCs w:val="28"/>
          <w:highlight w:val="white"/>
        </w:rPr>
        <w:t xml:space="preserve">единиц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 том числе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1486 </w:t>
      </w:r>
      <w:r>
        <w:rPr>
          <w:sz w:val="28"/>
          <w:szCs w:val="28"/>
          <w:highlight w:val="white"/>
        </w:rPr>
        <w:t xml:space="preserve">индивидуальных предпринимателей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675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2113 </w:t>
      </w:r>
      <w:r>
        <w:rPr>
          <w:sz w:val="28"/>
          <w:szCs w:val="28"/>
          <w:highlight w:val="white"/>
        </w:rPr>
        <w:t xml:space="preserve">граждан</w:t>
      </w:r>
      <w:r>
        <w:rPr>
          <w:sz w:val="28"/>
          <w:szCs w:val="28"/>
          <w:highlight w:val="white"/>
        </w:rPr>
        <w:t xml:space="preserve"> зарегистрированный использующих налог на професс</w:t>
      </w:r>
      <w:r>
        <w:rPr>
          <w:sz w:val="28"/>
          <w:szCs w:val="28"/>
          <w:highlight w:val="white"/>
        </w:rPr>
        <w:t xml:space="preserve">иональный доход (</w:t>
      </w:r>
      <w:r>
        <w:rPr>
          <w:sz w:val="28"/>
          <w:szCs w:val="28"/>
          <w:highlight w:val="white"/>
        </w:rPr>
        <w:t xml:space="preserve">самозанятых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Численность занятых на малых и средних предприятиях (включая индивидуальных предпринимателей) состав</w:t>
      </w:r>
      <w:r>
        <w:rPr>
          <w:sz w:val="28"/>
          <w:szCs w:val="28"/>
          <w:highlight w:val="white"/>
        </w:rPr>
        <w:t xml:space="preserve">ляет</w:t>
      </w:r>
      <w:r>
        <w:rPr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6 483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человека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Ежегодно </w:t>
      </w:r>
      <w:r>
        <w:rPr>
          <w:sz w:val="28"/>
          <w:szCs w:val="28"/>
          <w:highlight w:val="white"/>
        </w:rPr>
        <w:t xml:space="preserve">ведется работа по уточнению дислокации объектов торговли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и общественного </w:t>
      </w:r>
      <w:r>
        <w:rPr>
          <w:sz w:val="28"/>
          <w:szCs w:val="28"/>
          <w:highlight w:val="white"/>
        </w:rPr>
        <w:t xml:space="preserve">питания.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городе </w:t>
      </w:r>
      <w:r>
        <w:rPr>
          <w:sz w:val="28"/>
          <w:szCs w:val="28"/>
          <w:highlight w:val="white"/>
        </w:rPr>
        <w:t xml:space="preserve">работа</w:t>
      </w:r>
      <w:r>
        <w:rPr>
          <w:sz w:val="28"/>
          <w:szCs w:val="28"/>
          <w:highlight w:val="white"/>
        </w:rPr>
        <w:t xml:space="preserve">ет</w:t>
      </w:r>
      <w:r>
        <w:rPr>
          <w:sz w:val="28"/>
          <w:szCs w:val="28"/>
          <w:highlight w:val="white"/>
        </w:rPr>
        <w:t xml:space="preserve"> 344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мага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ин</w:t>
      </w:r>
      <w:r>
        <w:rPr>
          <w:sz w:val="28"/>
          <w:szCs w:val="28"/>
          <w:highlight w:val="white"/>
        </w:rPr>
        <w:t xml:space="preserve">а с общей торговой площ</w:t>
      </w:r>
      <w:r>
        <w:rPr>
          <w:sz w:val="28"/>
          <w:szCs w:val="28"/>
          <w:highlight w:val="white"/>
        </w:rPr>
        <w:t xml:space="preserve">адью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82 528,5 </w:t>
      </w:r>
      <w:r>
        <w:rPr>
          <w:sz w:val="28"/>
          <w:szCs w:val="28"/>
          <w:highlight w:val="white"/>
        </w:rPr>
        <w:t xml:space="preserve">м2. </w:t>
      </w:r>
      <w:r>
        <w:rPr>
          <w:sz w:val="28"/>
          <w:szCs w:val="28"/>
          <w:highlight w:val="white"/>
        </w:rPr>
        <w:t xml:space="preserve">Обе</w:t>
      </w:r>
      <w:r>
        <w:rPr>
          <w:sz w:val="28"/>
          <w:szCs w:val="28"/>
          <w:highlight w:val="white"/>
        </w:rPr>
        <w:t xml:space="preserve">спеченность населения на 10 000 жителей составля</w:t>
      </w:r>
      <w:r>
        <w:rPr>
          <w:sz w:val="28"/>
          <w:szCs w:val="28"/>
          <w:highlight w:val="white"/>
        </w:rPr>
        <w:t xml:space="preserve">ет </w:t>
      </w:r>
      <w:r>
        <w:rPr>
          <w:sz w:val="28"/>
          <w:szCs w:val="28"/>
          <w:highlight w:val="white"/>
        </w:rPr>
        <w:t xml:space="preserve">11 232,5 </w:t>
      </w:r>
      <w:r>
        <w:rPr>
          <w:sz w:val="28"/>
          <w:szCs w:val="28"/>
          <w:highlight w:val="white"/>
        </w:rPr>
        <w:t xml:space="preserve">м2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что </w:t>
      </w:r>
      <w:r>
        <w:rPr>
          <w:sz w:val="28"/>
          <w:szCs w:val="28"/>
          <w:highlight w:val="white"/>
        </w:rPr>
        <w:t xml:space="preserve">превышает н</w:t>
      </w:r>
      <w:r>
        <w:rPr>
          <w:sz w:val="28"/>
          <w:szCs w:val="28"/>
          <w:highlight w:val="white"/>
        </w:rPr>
        <w:t xml:space="preserve">орматив (нормати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1554,3</w:t>
      </w:r>
      <w:r>
        <w:rPr>
          <w:sz w:val="28"/>
          <w:szCs w:val="28"/>
          <w:highlight w:val="white"/>
        </w:rPr>
        <w:t xml:space="preserve"> м2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развитию предпринимательства и рыночной инфраструктуры </w:t>
      </w:r>
      <w:r>
        <w:rPr>
          <w:sz w:val="28"/>
          <w:szCs w:val="28"/>
        </w:rPr>
        <w:br/>
        <w:t xml:space="preserve">в еженедельном порядке осуществляет мероприятия по мониторингу розничных цен на отдельные продовольственные и непродовольственные товары </w:t>
      </w:r>
      <w:r>
        <w:rPr>
          <w:sz w:val="28"/>
          <w:szCs w:val="28"/>
        </w:rPr>
        <w:br/>
        <w:t xml:space="preserve">в розничных магазинах города Новоалтайска с последующей передачей информации посредством Единой системы мониторинга цен и остатков </w:t>
      </w:r>
      <w:r>
        <w:rPr>
          <w:sz w:val="28"/>
          <w:szCs w:val="28"/>
        </w:rPr>
        <w:br/>
        <w:t xml:space="preserve">(АРМ «Мониторинг»).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году в </w:t>
      </w:r>
      <w:r>
        <w:rPr>
          <w:sz w:val="28"/>
          <w:szCs w:val="28"/>
        </w:rPr>
        <w:t xml:space="preserve">отдел по развитию предпринимательства и рыночной инфраструктуры</w:t>
      </w:r>
      <w:r>
        <w:rPr>
          <w:sz w:val="28"/>
          <w:szCs w:val="28"/>
        </w:rPr>
        <w:t xml:space="preserve"> поступило 75 обращений о несоблюдении требований закона</w:t>
        <w:br/>
      </w:r>
      <w:r>
        <w:rPr>
          <w:sz w:val="28"/>
          <w:szCs w:val="28"/>
        </w:rPr>
        <w:t xml:space="preserve"> о тишине.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33 обращениям вынесено определение об отказе в возбуждении дела </w:t>
        <w:br/>
        <w:t xml:space="preserve">об административном правонарушении, в связи с </w:t>
      </w:r>
      <w:r>
        <w:rPr>
          <w:sz w:val="28"/>
          <w:szCs w:val="28"/>
        </w:rPr>
        <w:t xml:space="preserve">отсутствием достаточных данных свидетельствующих о наличии события а</w:t>
      </w:r>
      <w:r>
        <w:rPr>
          <w:sz w:val="28"/>
          <w:szCs w:val="28"/>
        </w:rPr>
        <w:t xml:space="preserve">дминистративных </w:t>
      </w:r>
      <w:r>
        <w:rPr>
          <w:sz w:val="28"/>
          <w:szCs w:val="28"/>
        </w:rPr>
        <w:t xml:space="preserve">правонарушений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42 обращениям </w:t>
      </w:r>
      <w:r>
        <w:rPr>
          <w:sz w:val="28"/>
          <w:szCs w:val="28"/>
        </w:rPr>
        <w:t xml:space="preserve">составлены протоколы об административном правонарушении</w:t>
      </w:r>
      <w:r>
        <w:rPr>
          <w:sz w:val="28"/>
          <w:szCs w:val="28"/>
        </w:rPr>
        <w:t xml:space="preserve"> на общую сумму 303,5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в</w:t>
      </w:r>
      <w:r>
        <w:rPr>
          <w:sz w:val="28"/>
          <w:szCs w:val="28"/>
        </w:rPr>
        <w:t xml:space="preserve">едется работа с </w:t>
      </w:r>
      <w:r>
        <w:rPr>
          <w:sz w:val="28"/>
          <w:szCs w:val="28"/>
        </w:rPr>
        <w:t xml:space="preserve">письмами и обращениями граждан, </w:t>
      </w:r>
      <w:r>
        <w:rPr>
          <w:sz w:val="28"/>
          <w:szCs w:val="28"/>
        </w:rPr>
        <w:t xml:space="preserve">по всем поступившим за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  <w:t xml:space="preserve"> обращениям,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тветы даны в </w:t>
      </w:r>
      <w:r>
        <w:rPr>
          <w:sz w:val="28"/>
          <w:szCs w:val="28"/>
        </w:rPr>
        <w:t xml:space="preserve">установленный законом </w:t>
      </w:r>
      <w:r>
        <w:rPr>
          <w:sz w:val="28"/>
          <w:szCs w:val="28"/>
        </w:rPr>
        <w:t xml:space="preserve">срок.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предпринимательства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 рыночной инфраструктуры                                                             Т.В. Бончук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</w:pPr>
      <w:r/>
      <w:r/>
    </w:p>
    <w:sectPr>
      <w:footnotePr/>
      <w:endnotePr/>
      <w:type w:val="nextPage"/>
      <w:pgSz w:w="11906" w:h="16838" w:orient="portrait"/>
      <w:pgMar w:top="536" w:right="567" w:bottom="711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Intense Emphasis"/>
    <w:basedOn w:val="845"/>
    <w:uiPriority w:val="21"/>
    <w:qFormat/>
    <w:rPr>
      <w:i/>
      <w:iCs/>
      <w:color w:val="0f4761" w:themeColor="accent1" w:themeShade="BF"/>
    </w:rPr>
  </w:style>
  <w:style w:type="character" w:styleId="661">
    <w:name w:val="Intense Reference"/>
    <w:basedOn w:val="845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662">
    <w:name w:val="Subtle Emphasis"/>
    <w:basedOn w:val="845"/>
    <w:uiPriority w:val="19"/>
    <w:qFormat/>
    <w:rPr>
      <w:i/>
      <w:iCs/>
      <w:color w:val="404040" w:themeColor="text1" w:themeTint="BF"/>
    </w:rPr>
  </w:style>
  <w:style w:type="character" w:styleId="663">
    <w:name w:val="Emphasis"/>
    <w:basedOn w:val="845"/>
    <w:uiPriority w:val="20"/>
    <w:qFormat/>
    <w:rPr>
      <w:i/>
      <w:iCs/>
    </w:rPr>
  </w:style>
  <w:style w:type="character" w:styleId="664">
    <w:name w:val="Strong"/>
    <w:basedOn w:val="845"/>
    <w:uiPriority w:val="22"/>
    <w:qFormat/>
    <w:rPr>
      <w:b/>
      <w:bCs/>
    </w:rPr>
  </w:style>
  <w:style w:type="character" w:styleId="665">
    <w:name w:val="Subtle Reference"/>
    <w:basedOn w:val="845"/>
    <w:uiPriority w:val="31"/>
    <w:qFormat/>
    <w:rPr>
      <w:smallCaps/>
      <w:color w:val="5a5a5a" w:themeColor="text1" w:themeTint="A5"/>
    </w:rPr>
  </w:style>
  <w:style w:type="character" w:styleId="666">
    <w:name w:val="Book Title"/>
    <w:basedOn w:val="845"/>
    <w:uiPriority w:val="33"/>
    <w:qFormat/>
    <w:rPr>
      <w:b/>
      <w:bCs/>
      <w:i/>
      <w:iCs/>
      <w:spacing w:val="5"/>
    </w:rPr>
  </w:style>
  <w:style w:type="character" w:styleId="667">
    <w:name w:val="FollowedHyperlink"/>
    <w:basedOn w:val="845"/>
    <w:uiPriority w:val="99"/>
    <w:semiHidden/>
    <w:unhideWhenUsed/>
    <w:rPr>
      <w:color w:val="954f72" w:themeColor="followedHyperlink"/>
      <w:u w:val="single"/>
    </w:rPr>
  </w:style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45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5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5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Heading 7"/>
    <w:basedOn w:val="843"/>
    <w:next w:val="843"/>
    <w:link w:val="853"/>
    <w:unhideWhenUsed/>
    <w:qFormat/>
    <w:pPr>
      <w:spacing w:before="240" w:after="60"/>
      <w:outlineLvl w:val="6"/>
    </w:pPr>
    <w:rPr>
      <w:rFonts w:ascii="Calibri" w:hAnsi="Calibri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ConsPlusNormal"/>
    <w:link w:val="850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9" w:customStyle="1">
    <w:name w:val="текст_реф_ау"/>
    <w:basedOn w:val="843"/>
    <w:pPr>
      <w:ind w:firstLine="720"/>
      <w:jc w:val="both"/>
      <w:spacing w:line="312" w:lineRule="auto"/>
    </w:pPr>
    <w:rPr>
      <w:spacing w:val="-2"/>
      <w:sz w:val="28"/>
      <w:szCs w:val="20"/>
    </w:rPr>
  </w:style>
  <w:style w:type="character" w:styleId="850" w:customStyle="1">
    <w:name w:val="ConsPlusNormal Знак"/>
    <w:link w:val="848"/>
    <w:rPr>
      <w:rFonts w:ascii="Arial" w:hAnsi="Arial" w:eastAsia="Times New Roman" w:cs="Arial"/>
      <w:sz w:val="20"/>
      <w:szCs w:val="20"/>
      <w:lang w:eastAsia="ru-RU"/>
    </w:rPr>
  </w:style>
  <w:style w:type="paragraph" w:styleId="851">
    <w:name w:val="List Paragraph"/>
    <w:basedOn w:val="843"/>
    <w:uiPriority w:val="34"/>
    <w:qFormat/>
    <w:pPr>
      <w:ind w:left="708"/>
    </w:pPr>
  </w:style>
  <w:style w:type="character" w:styleId="852">
    <w:name w:val="Hyperlink"/>
    <w:rPr>
      <w:color w:val="0000ff"/>
      <w:u w:val="single"/>
    </w:rPr>
  </w:style>
  <w:style w:type="character" w:styleId="853" w:customStyle="1">
    <w:name w:val="Заголовок 7 Знак"/>
    <w:basedOn w:val="845"/>
    <w:link w:val="844"/>
    <w:rPr>
      <w:rFonts w:ascii="Calibri" w:hAnsi="Calibri" w:eastAsia="Times New Roman" w:cs="Times New Roman"/>
      <w:sz w:val="24"/>
      <w:szCs w:val="24"/>
      <w:lang w:eastAsia="ru-RU"/>
    </w:rPr>
  </w:style>
  <w:style w:type="paragraph" w:styleId="854" w:customStyle="1">
    <w:name w:val="Знак Знак Знак Знак Знак Знак Знак"/>
    <w:basedOn w:val="84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855">
    <w:name w:val="Balloon Text"/>
    <w:basedOn w:val="843"/>
    <w:link w:val="8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6" w:customStyle="1">
    <w:name w:val="Текст выноски Знак"/>
    <w:basedOn w:val="845"/>
    <w:link w:val="85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revision>14</cp:revision>
  <dcterms:created xsi:type="dcterms:W3CDTF">2023-01-30T05:59:00Z</dcterms:created>
  <dcterms:modified xsi:type="dcterms:W3CDTF">2025-01-31T05:07:26Z</dcterms:modified>
</cp:coreProperties>
</file>