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FDC" w14:textId="77777777" w:rsidR="007D5243" w:rsidRDefault="004831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о деятельности Комитета Администрации города Новоалтайска по жилищно-коммунальному, газовому хозяйству, энергетике, транспорту и строительству за 2023 год</w:t>
      </w:r>
    </w:p>
    <w:p w14:paraId="7020604E" w14:textId="77777777" w:rsidR="007D5243" w:rsidRDefault="007D524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51B71D2" w14:textId="77777777" w:rsidR="007D5243" w:rsidRDefault="007D524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8EA44E8" w14:textId="77777777" w:rsidR="007D5243" w:rsidRDefault="0048312A">
      <w:pPr>
        <w:pStyle w:val="Default"/>
        <w:widowControl w:val="0"/>
        <w:ind w:firstLine="709"/>
        <w:jc w:val="both"/>
        <w:rPr>
          <w:color w:val="auto"/>
          <w:lang w:val="ru-RU"/>
        </w:rPr>
      </w:pPr>
      <w:r>
        <w:rPr>
          <w:color w:val="auto"/>
          <w:sz w:val="28"/>
          <w:szCs w:val="28"/>
          <w:lang w:val="ru-RU"/>
        </w:rPr>
        <w:t>Д</w:t>
      </w:r>
      <w:r w:rsidRPr="005114C4">
        <w:rPr>
          <w:rFonts w:eastAsia="Times New Roman"/>
          <w:sz w:val="28"/>
          <w:lang w:val="ru-RU"/>
        </w:rPr>
        <w:t>еятельност</w:t>
      </w:r>
      <w:r>
        <w:rPr>
          <w:rFonts w:eastAsia="Times New Roman"/>
          <w:sz w:val="28"/>
          <w:lang w:val="ru-RU"/>
        </w:rPr>
        <w:t>ь</w:t>
      </w:r>
      <w:r w:rsidRPr="005114C4">
        <w:rPr>
          <w:rFonts w:eastAsia="Times New Roman"/>
          <w:sz w:val="28"/>
          <w:lang w:val="ru-RU"/>
        </w:rPr>
        <w:t xml:space="preserve"> </w:t>
      </w:r>
      <w:r w:rsidRPr="005114C4">
        <w:rPr>
          <w:sz w:val="28"/>
          <w:szCs w:val="28"/>
          <w:lang w:val="ru-RU"/>
        </w:rPr>
        <w:t xml:space="preserve">Комитета </w:t>
      </w:r>
      <w:r w:rsidRPr="005114C4">
        <w:rPr>
          <w:sz w:val="28"/>
          <w:szCs w:val="28"/>
          <w:lang w:val="ru-RU"/>
        </w:rPr>
        <w:t xml:space="preserve">Администрации города Новоалтайска по жилищно-коммунальному, газовому хозяйству, энергетике, транспорту и строительству </w:t>
      </w:r>
      <w:r w:rsidRPr="005114C4">
        <w:rPr>
          <w:rFonts w:eastAsia="Times New Roman"/>
          <w:sz w:val="28"/>
          <w:lang w:val="ru-RU"/>
        </w:rPr>
        <w:t xml:space="preserve">в сфере жилищно-коммунального хозяйства в 2023 году </w:t>
      </w:r>
      <w:r>
        <w:rPr>
          <w:color w:val="auto"/>
          <w:sz w:val="28"/>
          <w:szCs w:val="28"/>
          <w:lang w:val="ru-RU"/>
        </w:rPr>
        <w:t xml:space="preserve">была направлена на улучшение качества жизни горожан путем создания комфортной городской среды, проведение капитального ремонта многоквартирных домов, приведение дорог в нормативное состояние, </w:t>
      </w:r>
      <w:r w:rsidRPr="005114C4">
        <w:rPr>
          <w:rFonts w:eastAsia="Times New Roman"/>
          <w:sz w:val="28"/>
          <w:lang w:val="ru-RU"/>
        </w:rPr>
        <w:t>организацию благоустройства</w:t>
      </w:r>
      <w:r>
        <w:rPr>
          <w:rFonts w:eastAsia="Times New Roman"/>
          <w:sz w:val="28"/>
          <w:lang w:val="ru-RU"/>
        </w:rPr>
        <w:t xml:space="preserve"> и т.д.</w:t>
      </w:r>
    </w:p>
    <w:p w14:paraId="3E6233ED" w14:textId="77777777" w:rsidR="007D5243" w:rsidRDefault="004831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национального проекта «Безопасные качественные дороги» в 2023 году приведены в нормативное состояние автомобильные дороги общей протяженностью 5,7 км на следующих участках: ул. </w:t>
      </w:r>
      <w:proofErr w:type="spellStart"/>
      <w:r>
        <w:rPr>
          <w:rFonts w:ascii="Times New Roman" w:hAnsi="Times New Roman"/>
          <w:sz w:val="28"/>
          <w:szCs w:val="28"/>
        </w:rPr>
        <w:t>Военстроя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ул. Коммунистическая, ул. </w:t>
      </w:r>
      <w:proofErr w:type="spellStart"/>
      <w:r>
        <w:rPr>
          <w:rFonts w:ascii="Times New Roman" w:hAnsi="Times New Roman"/>
          <w:sz w:val="28"/>
          <w:szCs w:val="28"/>
        </w:rPr>
        <w:t>Южсиба</w:t>
      </w:r>
      <w:proofErr w:type="spellEnd"/>
      <w:r>
        <w:rPr>
          <w:rFonts w:ascii="Times New Roman" w:hAnsi="Times New Roman"/>
          <w:sz w:val="28"/>
          <w:szCs w:val="28"/>
        </w:rPr>
        <w:t>, ул. Майская, ул. Мичурина</w:t>
      </w:r>
      <w:r>
        <w:rPr>
          <w:rFonts w:ascii="Times New Roman" w:hAnsi="Times New Roman"/>
          <w:sz w:val="28"/>
        </w:rPr>
        <w:t xml:space="preserve">. В ходе ремонта выполнена замена асфальтобетонного покрытия площадью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highlight w:val="white"/>
        </w:rPr>
        <w:t xml:space="preserve">37 тысяч </w:t>
      </w:r>
      <w:proofErr w:type="spellStart"/>
      <w:proofErr w:type="gramStart"/>
      <w:r>
        <w:rPr>
          <w:rFonts w:ascii="Times New Roman" w:hAnsi="Times New Roman"/>
          <w:sz w:val="28"/>
          <w:szCs w:val="28"/>
          <w:highlight w:val="white"/>
        </w:rPr>
        <w:t>кв.м</w:t>
      </w:r>
      <w:proofErr w:type="spellEnd"/>
      <w:proofErr w:type="gram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устройство тротуара – </w:t>
      </w:r>
      <w:r>
        <w:rPr>
          <w:rFonts w:ascii="Times New Roman" w:hAnsi="Times New Roman"/>
          <w:sz w:val="28"/>
        </w:rPr>
        <w:t>около 6 км</w:t>
      </w:r>
      <w:r>
        <w:rPr>
          <w:rFonts w:ascii="Times New Roman" w:hAnsi="Times New Roman"/>
          <w:color w:val="000000"/>
          <w:sz w:val="28"/>
          <w:szCs w:val="28"/>
        </w:rPr>
        <w:t>, выполнено обустройство 12 остановочных пунктов.</w:t>
      </w:r>
    </w:p>
    <w:p w14:paraId="586ED50D" w14:textId="77777777" w:rsidR="007D5243" w:rsidRDefault="0048312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Получено положительное заключение государственной экспертизы по объекту «Строительство автомобильной дороги по ул. Спортивная</w:t>
      </w:r>
      <w:r>
        <w:t xml:space="preserve"> </w:t>
      </w:r>
      <w:r>
        <w:br/>
      </w:r>
      <w:r>
        <w:rPr>
          <w:rFonts w:ascii="Times New Roman" w:hAnsi="Times New Roman"/>
          <w:sz w:val="28"/>
          <w:szCs w:val="28"/>
        </w:rPr>
        <w:t>в г. Новоалтайске».</w:t>
      </w:r>
    </w:p>
    <w:p w14:paraId="2EF03847" w14:textId="77777777" w:rsidR="007D5243" w:rsidRDefault="0048312A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муниципальной программы «Повышение безопасности дорожного движения в городе Новоалтайске» выполнены мероприятия, направленные на предотвращение и сокращение дорожно-транспортных происшествий и случаев травматизма на дороге, в том числе: </w:t>
      </w:r>
      <w:r>
        <w:rPr>
          <w:rFonts w:ascii="Times New Roman" w:hAnsi="Times New Roman"/>
          <w:sz w:val="28"/>
          <w:szCs w:val="28"/>
        </w:rPr>
        <w:t xml:space="preserve">строительство пешеходных барьерных ограждений общей протяженностью 75 метров и линий наружного освещения на улицах: Пушкинская, Ленинская, П. Корчагина, Шукшина, Долматова протяженностью 5,86 км; нанесение дорожной разметки и установление дорожных знаков на улично-дорожной сети города; обустройство двух светофорных объектов Т7 на пешеходных переходах вблизи образовательных учреждений по ул. Григорьева, 7 и </w:t>
      </w:r>
      <w:r>
        <w:rPr>
          <w:rFonts w:ascii="Times New Roman" w:hAnsi="Times New Roman"/>
          <w:sz w:val="28"/>
          <w:szCs w:val="28"/>
        </w:rPr>
        <w:br/>
        <w:t>ул. Майская, 125</w:t>
      </w:r>
      <w:r>
        <w:rPr>
          <w:rFonts w:ascii="Times New Roman" w:hAnsi="Times New Roman"/>
          <w:sz w:val="28"/>
          <w:szCs w:val="28"/>
        </w:rPr>
        <w:t>.</w:t>
      </w:r>
    </w:p>
    <w:p w14:paraId="50ABCC7D" w14:textId="77777777" w:rsidR="007D5243" w:rsidRDefault="0048312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благоустройства территории города и содержания улично-дорожной сети </w:t>
      </w:r>
      <w:r>
        <w:rPr>
          <w:rFonts w:ascii="Times New Roman" w:hAnsi="Times New Roman"/>
          <w:sz w:val="28"/>
          <w:szCs w:val="28"/>
        </w:rPr>
        <w:t>проведена реконструкция светофорного объекта на пересечении улиц Октябрьская и Коммунистическая.</w:t>
      </w:r>
    </w:p>
    <w:p w14:paraId="69D0C94D" w14:textId="77777777" w:rsidR="007D5243" w:rsidRDefault="0048312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2023 году заключены муниципальные контракты на перевоз пассажиров и багажа с </w:t>
      </w:r>
      <w:r>
        <w:rPr>
          <w:rFonts w:ascii="Times New Roman" w:hAnsi="Times New Roman"/>
          <w:color w:val="000000"/>
          <w:sz w:val="28"/>
          <w:szCs w:val="28"/>
        </w:rPr>
        <w:t>двумя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индивидуальными предпринимателями и двумя юридическими лицами сроком на 3 года (до 2026 года).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осуществляются регулярные перевозки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по нерегулируемым тарифам</w:t>
      </w:r>
      <w:r>
        <w:rPr>
          <w:rFonts w:ascii="Times New Roman" w:hAnsi="Times New Roman"/>
          <w:sz w:val="28"/>
          <w:szCs w:val="28"/>
          <w:lang w:eastAsia="ru-RU"/>
        </w:rPr>
        <w:t xml:space="preserve"> на маршрутах № 15, № 11, № 5.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ородским общественным транспортом перевезено 4083,77 тысяч человек, из них 1622,34 тысяч человек (39,7%) воспользовались единым проездным билетом на маршрутах регулярных перевозок по регулируемому тарифу.</w:t>
      </w:r>
    </w:p>
    <w:p w14:paraId="09C76C69" w14:textId="77777777" w:rsidR="007D5243" w:rsidRDefault="004831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рамках реализации национального проекта «Жилье и городская среда» на территории города реализованы мероприятия муниципальной </w:t>
      </w:r>
      <w:r>
        <w:rPr>
          <w:rFonts w:ascii="Times New Roman" w:hAnsi="Times New Roman"/>
          <w:sz w:val="28"/>
          <w:szCs w:val="24"/>
        </w:rPr>
        <w:lastRenderedPageBreak/>
        <w:t xml:space="preserve">программы «Формирование комфортной городской среды городского округа город Новоалтайск». </w:t>
      </w:r>
    </w:p>
    <w:p w14:paraId="4296BF07" w14:textId="77777777" w:rsidR="007D5243" w:rsidRDefault="0048312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благоустроены скверы имени </w:t>
      </w:r>
      <w:r>
        <w:rPr>
          <w:rFonts w:ascii="Times New Roman" w:hAnsi="Times New Roman"/>
          <w:sz w:val="28"/>
          <w:szCs w:val="28"/>
        </w:rPr>
        <w:br/>
        <w:t>И.И. Григорьева и по ул. Космонавтов в 10-м микрорайоне; осуществлена поставка и установка спортивного уличного оборудования</w:t>
      </w:r>
      <w:r>
        <w:rPr>
          <w:rFonts w:ascii="Times New Roman" w:hAnsi="Times New Roman"/>
          <w:sz w:val="28"/>
          <w:szCs w:val="28"/>
        </w:rPr>
        <w:t xml:space="preserve"> на бульваре имени А.Е. Землянова; установка скейт-площадки в парке «Пионерский»</w:t>
      </w:r>
      <w:r>
        <w:rPr>
          <w:sz w:val="28"/>
          <w:szCs w:val="28"/>
        </w:rPr>
        <w:t>.</w:t>
      </w:r>
    </w:p>
    <w:p w14:paraId="2C2B42F1" w14:textId="77777777" w:rsidR="007D5243" w:rsidRDefault="0048312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ремонт 7-ми дворовых проездов многоквартирных домов: </w:t>
      </w:r>
      <w:r>
        <w:rPr>
          <w:rFonts w:ascii="Times New Roman" w:hAnsi="Times New Roman"/>
          <w:sz w:val="28"/>
          <w:szCs w:val="28"/>
        </w:rPr>
        <w:br/>
        <w:t xml:space="preserve">ул. 8 микрорайон, д. 21, ул. Геологов, д. 96; ул. Анатолия, д. 7; </w:t>
      </w:r>
      <w:r>
        <w:rPr>
          <w:rFonts w:ascii="Times New Roman" w:hAnsi="Times New Roman"/>
          <w:sz w:val="28"/>
          <w:szCs w:val="28"/>
        </w:rPr>
        <w:br/>
        <w:t xml:space="preserve">ул. Анатолия, д. 37; ул. Депутатская, д. 10; ул. Октябрьская, д. 3; </w:t>
      </w:r>
      <w:r>
        <w:rPr>
          <w:rFonts w:ascii="Times New Roman" w:hAnsi="Times New Roman"/>
          <w:sz w:val="28"/>
          <w:szCs w:val="28"/>
        </w:rPr>
        <w:br/>
        <w:t>ул. Октябрьская, д. 9.</w:t>
      </w:r>
    </w:p>
    <w:p w14:paraId="12B3D166" w14:textId="77777777" w:rsidR="007D5243" w:rsidRDefault="0048312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Подготовлена </w:t>
      </w:r>
      <w:proofErr w:type="spellStart"/>
      <w:r>
        <w:rPr>
          <w:rFonts w:ascii="Times New Roman" w:hAnsi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сметная документация для благоустройства в 2024 году двух общественных территорий: сквера «Лес Победы» и пешеходной зоны по ул. Космонавтов (территории победили в общественном голосовании на федеральной платформе) и четырех придомовых территорий: ул. Анатолия, д. 19; ул. Октябрьская, д. 26а; ул. Прудская, д. 9а; ул. Энгельса, д. 2.</w:t>
      </w:r>
    </w:p>
    <w:p w14:paraId="1774F23A" w14:textId="77777777" w:rsidR="007D5243" w:rsidRDefault="00483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за счет средств государственных программ по обеспечению жильем отдельных категорий граждан улучшили жилищные условия </w:t>
      </w:r>
      <w:r>
        <w:rPr>
          <w:rFonts w:ascii="Times New Roman" w:hAnsi="Times New Roman"/>
          <w:sz w:val="28"/>
          <w:szCs w:val="28"/>
        </w:rPr>
        <w:t>22 семьи</w:t>
      </w:r>
      <w:r>
        <w:rPr>
          <w:rFonts w:ascii="Times New Roman" w:hAnsi="Times New Roman"/>
          <w:sz w:val="28"/>
          <w:szCs w:val="28"/>
        </w:rPr>
        <w:t xml:space="preserve"> по категории «Молодая семья». </w:t>
      </w:r>
    </w:p>
    <w:p w14:paraId="7C7D4913" w14:textId="77777777" w:rsidR="007D5243" w:rsidRDefault="0048312A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рамках ведомственной целевой программы «Переселение граждан из аварийного жилищного фонда в городе Новоалтайске на 2020-2029 годы» 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в 2023 году за счет средств бюджета городского округа переселены граждане из 26 квартир, расположенных в аварийном жилом фонде города. </w:t>
      </w:r>
    </w:p>
    <w:p w14:paraId="6D694BF8" w14:textId="77777777" w:rsidR="007D5243" w:rsidRDefault="0048312A">
      <w:pPr>
        <w:spacing w:after="0" w:line="240" w:lineRule="auto"/>
        <w:ind w:firstLine="708"/>
        <w:contextualSpacing/>
        <w:jc w:val="both"/>
        <w:rPr>
          <w:rStyle w:val="aff0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учете граждан, нуждающихся </w:t>
      </w:r>
      <w:proofErr w:type="gramStart"/>
      <w:r>
        <w:rPr>
          <w:rFonts w:ascii="Times New Roman" w:hAnsi="Times New Roman"/>
          <w:sz w:val="28"/>
          <w:szCs w:val="28"/>
        </w:rPr>
        <w:t>в жилых 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состояло 1039 семей, из них 38 – семьи, имеющие трех и более детей.</w:t>
      </w:r>
    </w:p>
    <w:p w14:paraId="7B9462D9" w14:textId="77777777" w:rsidR="007D5243" w:rsidRDefault="00483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2023 году снесен аварийный многоквартирный дом, расположенный по адресу: </w:t>
      </w:r>
      <w:r>
        <w:rPr>
          <w:rFonts w:ascii="Times New Roman" w:hAnsi="Times New Roman"/>
          <w:sz w:val="28"/>
          <w:highlight w:val="white"/>
        </w:rPr>
        <w:t>г. Новоалтайск, ул. Белякова, д. 42.</w:t>
      </w:r>
    </w:p>
    <w:p w14:paraId="06A1257B" w14:textId="77777777" w:rsidR="007D5243" w:rsidRDefault="0048312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реализации краевой программы «Капитальный ремонт общего имущества в многоквартирных домах, расположенных на территории Алтайского края» на 2014-2043 гг. </w:t>
      </w:r>
      <w:r>
        <w:rPr>
          <w:rFonts w:ascii="Times New Roman" w:hAnsi="Times New Roman"/>
          <w:sz w:val="28"/>
          <w:szCs w:val="28"/>
        </w:rPr>
        <w:t xml:space="preserve">выполнены работы по </w:t>
      </w:r>
      <w:r>
        <w:rPr>
          <w:rFonts w:ascii="Times New Roman" w:hAnsi="Times New Roman"/>
          <w:sz w:val="28"/>
          <w:szCs w:val="28"/>
        </w:rPr>
        <w:t>капитальному ремонту общего имущества</w:t>
      </w:r>
      <w:r>
        <w:rPr>
          <w:rFonts w:ascii="Times New Roman" w:hAnsi="Times New Roman"/>
          <w:sz w:val="28"/>
          <w:szCs w:val="28"/>
        </w:rPr>
        <w:t xml:space="preserve"> в 9-ти </w:t>
      </w:r>
      <w:r>
        <w:rPr>
          <w:rFonts w:ascii="Times New Roman" w:hAnsi="Times New Roman"/>
          <w:sz w:val="28"/>
          <w:szCs w:val="28"/>
        </w:rPr>
        <w:t>многоквартирных домах: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ул. 22 Партсъезда, д. 4 (ремонт фасада);</w:t>
      </w:r>
      <w:r>
        <w:rPr>
          <w:rFonts w:ascii="Times New Roman" w:hAnsi="Times New Roman"/>
          <w:sz w:val="28"/>
        </w:rPr>
        <w:t xml:space="preserve"> ул. 8 микрорайон, д. 26 (ремонт, замена, модернизация лифтов, ремонт лифтовых шахт, машинных и блочных помещений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highlight w:val="white"/>
        </w:rPr>
        <w:t>в 6-ти многоквартирных домах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ул. Космонавтов, 4; </w:t>
      </w:r>
      <w:r>
        <w:rPr>
          <w:rFonts w:ascii="Times New Roman" w:hAnsi="Times New Roman"/>
          <w:color w:val="000000"/>
          <w:sz w:val="28"/>
        </w:rPr>
        <w:br/>
        <w:t xml:space="preserve">ул. Космонавтов, 8; ул. Космонавтов, 10; ул. Депутатская, д. 10; </w:t>
      </w:r>
      <w:r>
        <w:rPr>
          <w:rFonts w:ascii="Times New Roman" w:hAnsi="Times New Roman"/>
          <w:color w:val="000000"/>
          <w:sz w:val="28"/>
        </w:rPr>
        <w:br/>
        <w:t>ул. Деповская, д. 24;</w:t>
      </w:r>
      <w:r>
        <w:rPr>
          <w:rFonts w:ascii="Times New Roman" w:hAnsi="Times New Roman"/>
          <w:sz w:val="28"/>
        </w:rPr>
        <w:t xml:space="preserve"> ул. Юбилейная, д. 15)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highlight w:val="white"/>
        </w:rPr>
        <w:t>переустройство вентилируемой крыши на вентилируемую крышу, устройству выходов на кровлю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ул. 7 микрорайон, д. 14</w:t>
      </w:r>
      <w:r>
        <w:rPr>
          <w:rFonts w:ascii="Times New Roman" w:hAnsi="Times New Roman"/>
          <w:sz w:val="28"/>
          <w:szCs w:val="28"/>
          <w:highlight w:val="white"/>
        </w:rPr>
        <w:t xml:space="preserve"> (ремонт крыши</w:t>
      </w:r>
      <w:r>
        <w:rPr>
          <w:rFonts w:ascii="Times New Roman" w:hAnsi="Times New Roman"/>
          <w:sz w:val="28"/>
          <w:szCs w:val="28"/>
        </w:rPr>
        <w:t>).</w:t>
      </w:r>
    </w:p>
    <w:p w14:paraId="6F27A2E4" w14:textId="77777777" w:rsidR="007D5243" w:rsidRPr="005114C4" w:rsidRDefault="0048312A">
      <w:pPr>
        <w:pStyle w:val="Nra"/>
        <w:shd w:val="clear" w:color="FFFFFF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результате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выполненных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работ по строительству линий наружного освещения 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дополнительно введено в эксплуатацию 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наружного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том числе по муниципальной программе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Повышение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дорожного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Новоалтайске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установлено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228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светодиодных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светильников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итогам 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года в городе Новоалтайске протяженность линий наружного освещения состав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ла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83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61</w:t>
      </w:r>
      <w:r w:rsidRPr="005114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км</w:t>
      </w:r>
      <w:r>
        <w:rPr>
          <w:rFonts w:ascii="Times New Roman" w:hAnsi="Times New Roman" w:cs="Times New Roman"/>
          <w:sz w:val="28"/>
          <w:szCs w:val="28"/>
          <w:lang w:val="ru-RU"/>
        </w:rPr>
        <w:t>, количество светодиодных светильников – 2 388.</w:t>
      </w:r>
    </w:p>
    <w:p w14:paraId="5EA10268" w14:textId="77777777" w:rsidR="007D5243" w:rsidRPr="005114C4" w:rsidRDefault="0048312A">
      <w:pPr>
        <w:pStyle w:val="Nra"/>
        <w:shd w:val="clear" w:color="FFFFFF" w:fill="FFFFFF"/>
        <w:spacing w:after="0" w:line="240" w:lineRule="auto"/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прекращается работа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жилых домов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территории города Новоалтайска.</w:t>
      </w:r>
    </w:p>
    <w:p w14:paraId="61E63A1A" w14:textId="77777777" w:rsidR="007D5243" w:rsidRDefault="0048312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Поручения Президента РФ по итогам послания Федеральному Собранию предусматривают бесплатную подводку газа в газифицированных населенных пунктах до границ домовладений, расположенных вблизи газопроводов. В рамках социальной г</w:t>
      </w:r>
      <w:r>
        <w:rPr>
          <w:rFonts w:ascii="Times New Roman" w:hAnsi="Times New Roman"/>
          <w:sz w:val="28"/>
          <w:szCs w:val="28"/>
          <w:highlight w:val="white"/>
        </w:rPr>
        <w:t>азификации (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) в Новоалтайске планируется газифицировать 5887 д</w:t>
      </w:r>
      <w:r>
        <w:rPr>
          <w:rFonts w:ascii="Times New Roman" w:hAnsi="Times New Roman"/>
          <w:sz w:val="28"/>
          <w:szCs w:val="28"/>
        </w:rPr>
        <w:t xml:space="preserve">омовладений. </w:t>
      </w:r>
      <w:r>
        <w:rPr>
          <w:rFonts w:ascii="Times New Roman" w:hAnsi="Times New Roman"/>
          <w:sz w:val="28"/>
          <w:szCs w:val="28"/>
          <w:highlight w:val="white"/>
        </w:rPr>
        <w:t xml:space="preserve">В 2023 году выполнены работы по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микрорайонов: Белоярский, Почтовый, </w:t>
      </w:r>
      <w:r>
        <w:rPr>
          <w:rFonts w:ascii="Times New Roman" w:hAnsi="Times New Roman"/>
          <w:sz w:val="28"/>
          <w:highlight w:val="white"/>
        </w:rPr>
        <w:t xml:space="preserve">с. </w:t>
      </w:r>
      <w:proofErr w:type="spellStart"/>
      <w:r>
        <w:rPr>
          <w:rFonts w:ascii="Times New Roman" w:hAnsi="Times New Roman"/>
          <w:sz w:val="28"/>
          <w:highlight w:val="white"/>
        </w:rPr>
        <w:t>Токарево</w:t>
      </w:r>
      <w:proofErr w:type="spellEnd"/>
      <w:r>
        <w:rPr>
          <w:rFonts w:ascii="Times New Roman" w:hAnsi="Times New Roman"/>
          <w:sz w:val="28"/>
          <w:highlight w:val="white"/>
        </w:rPr>
        <w:t>, АТП</w:t>
      </w:r>
      <w:r>
        <w:rPr>
          <w:rFonts w:ascii="Times New Roman" w:hAnsi="Times New Roman"/>
          <w:sz w:val="28"/>
          <w:szCs w:val="28"/>
          <w:highlight w:val="white"/>
        </w:rPr>
        <w:t xml:space="preserve">, Чесноковка. </w:t>
      </w:r>
      <w:r>
        <w:rPr>
          <w:rFonts w:ascii="Times New Roman" w:hAnsi="Times New Roman"/>
          <w:sz w:val="28"/>
          <w:szCs w:val="28"/>
          <w:highlight w:val="white"/>
        </w:rPr>
        <w:t xml:space="preserve">По окончании работ уложено </w:t>
      </w:r>
      <w:r>
        <w:rPr>
          <w:rFonts w:ascii="Times New Roman" w:hAnsi="Times New Roman"/>
          <w:sz w:val="28"/>
          <w:szCs w:val="28"/>
          <w:highlight w:val="white"/>
        </w:rPr>
        <w:t>более 104</w:t>
      </w:r>
      <w:r>
        <w:rPr>
          <w:rFonts w:ascii="Times New Roman" w:hAnsi="Times New Roman"/>
          <w:sz w:val="28"/>
          <w:szCs w:val="28"/>
          <w:highlight w:val="white"/>
        </w:rPr>
        <w:t xml:space="preserve"> км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труб,</w:t>
      </w:r>
      <w:r>
        <w:rPr>
          <w:rFonts w:ascii="Times New Roman" w:hAnsi="Times New Roman"/>
          <w:sz w:val="28"/>
          <w:szCs w:val="28"/>
          <w:highlight w:val="white"/>
        </w:rPr>
        <w:t xml:space="preserve"> выполнены</w:t>
      </w:r>
      <w:r>
        <w:rPr>
          <w:rFonts w:ascii="Times New Roman" w:hAnsi="Times New Roman"/>
          <w:sz w:val="28"/>
          <w:szCs w:val="28"/>
          <w:highlight w:val="white"/>
        </w:rPr>
        <w:t xml:space="preserve"> подводки </w:t>
      </w:r>
      <w:r>
        <w:rPr>
          <w:rFonts w:ascii="Times New Roman" w:hAnsi="Times New Roman"/>
          <w:sz w:val="28"/>
          <w:szCs w:val="28"/>
          <w:highlight w:val="white"/>
        </w:rPr>
        <w:t xml:space="preserve">к 3096 </w:t>
      </w:r>
      <w:r>
        <w:rPr>
          <w:rFonts w:ascii="Times New Roman" w:hAnsi="Times New Roman"/>
          <w:sz w:val="28"/>
          <w:szCs w:val="28"/>
          <w:highlight w:val="white"/>
        </w:rPr>
        <w:t xml:space="preserve">домовладениям. </w:t>
      </w:r>
    </w:p>
    <w:p w14:paraId="584FEDFB" w14:textId="77777777" w:rsidR="007D5243" w:rsidRDefault="0048312A">
      <w:pPr>
        <w:spacing w:after="0" w:line="240" w:lineRule="auto"/>
        <w:ind w:left="142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В </w:t>
      </w:r>
      <w:r>
        <w:rPr>
          <w:rFonts w:ascii="Times New Roman" w:hAnsi="Times New Roman"/>
          <w:color w:val="000000"/>
          <w:sz w:val="28"/>
          <w:szCs w:val="27"/>
          <w:highlight w:val="white"/>
        </w:rPr>
        <w:t>202</w:t>
      </w:r>
      <w:r>
        <w:rPr>
          <w:rFonts w:ascii="Times New Roman" w:hAnsi="Times New Roman"/>
          <w:color w:val="000000"/>
          <w:sz w:val="28"/>
          <w:szCs w:val="27"/>
        </w:rPr>
        <w:t>3 году завершено</w:t>
      </w:r>
      <w:r>
        <w:rPr>
          <w:rFonts w:ascii="Times New Roman" w:hAnsi="Times New Roman"/>
          <w:sz w:val="28"/>
          <w:szCs w:val="28"/>
        </w:rPr>
        <w:t xml:space="preserve"> строительство водозабора в микрорайоне Геологи</w:t>
      </w:r>
      <w:r>
        <w:rPr>
          <w:rFonts w:ascii="Times New Roman" w:hAnsi="Times New Roman"/>
          <w:sz w:val="28"/>
          <w:szCs w:val="28"/>
        </w:rPr>
        <w:t>, по ул. Плодопитомник, 16 выполнен капитальный ремонт водозаборного узла скважины № 14.</w:t>
      </w:r>
    </w:p>
    <w:p w14:paraId="0D699DAA" w14:textId="77777777" w:rsidR="007D5243" w:rsidRDefault="0048312A">
      <w:pPr>
        <w:spacing w:line="240" w:lineRule="auto"/>
        <w:ind w:left="142"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проектированию строительства водоснабжения микрорайона Раздолье продолжается - проектно-сметная документация находится на государственной экспертизе.</w:t>
      </w:r>
    </w:p>
    <w:p w14:paraId="27D23051" w14:textId="77777777" w:rsidR="007D5243" w:rsidRDefault="0048312A">
      <w:pPr>
        <w:shd w:val="clear" w:color="FFFFFF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период проведения месячников по санитарной очистке в 2023 году в Новоалтайске предприятиями и жителями города приведены в порядок не только закрепленные участки, но и прилегающая к ним территория.</w:t>
      </w:r>
    </w:p>
    <w:p w14:paraId="459457AF" w14:textId="77777777" w:rsidR="007D5243" w:rsidRDefault="0048312A">
      <w:pPr>
        <w:shd w:val="clear" w:color="FFFFFF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За период проведения санитарной очистк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32"/>
        </w:rPr>
        <w:t>суммарно собрано и вывезено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32"/>
        </w:rPr>
        <w:t xml:space="preserve">687,57 тонн мусора. </w:t>
      </w:r>
      <w:r>
        <w:rPr>
          <w:rFonts w:ascii="Times New Roman" w:hAnsi="Times New Roman"/>
          <w:sz w:val="28"/>
          <w:szCs w:val="32"/>
        </w:rPr>
        <w:t>В мероприятиях по уборке территорий приняли участие 3578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32"/>
        </w:rPr>
        <w:t xml:space="preserve">человек, </w:t>
      </w:r>
      <w:r>
        <w:rPr>
          <w:rFonts w:ascii="Times New Roman" w:hAnsi="Times New Roman"/>
          <w:sz w:val="28"/>
          <w:szCs w:val="32"/>
        </w:rPr>
        <w:t xml:space="preserve">было задействовано </w:t>
      </w:r>
      <w:r>
        <w:rPr>
          <w:rFonts w:ascii="Times New Roman" w:hAnsi="Times New Roman"/>
          <w:bCs/>
          <w:sz w:val="28"/>
          <w:szCs w:val="32"/>
        </w:rPr>
        <w:t>77 единиц техники</w:t>
      </w:r>
      <w:r>
        <w:rPr>
          <w:rFonts w:ascii="Times New Roman" w:hAnsi="Times New Roman"/>
          <w:sz w:val="28"/>
          <w:szCs w:val="32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Общий объем вывезенного и утилизированного мусора составил около 1,5 тонн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6F4C09E" w14:textId="77777777" w:rsidR="007D5243" w:rsidRDefault="00483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Выполнены работы по благоустройству и содержанию общественного городского кладбища.</w:t>
      </w:r>
    </w:p>
    <w:p w14:paraId="568E6AC1" w14:textId="77777777" w:rsidR="007D5243" w:rsidRDefault="0048312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 целях благоустройства территории города выполнены работы по цветочному оформлению,</w:t>
      </w:r>
      <w:r>
        <w:rPr>
          <w:rFonts w:ascii="Times New Roman" w:hAnsi="Times New Roman"/>
          <w:sz w:val="28"/>
        </w:rPr>
        <w:t xml:space="preserve"> вырезке сухих ветвей и распилу поваленных деревьев, перевезено и утилизировано около 151 тонн порубочных остатков. </w:t>
      </w:r>
    </w:p>
    <w:p w14:paraId="30A24388" w14:textId="77777777" w:rsidR="007D5243" w:rsidRDefault="0048312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4"/>
        </w:rPr>
        <w:t xml:space="preserve">С целью защиты населения от нападения клещей и от укусов комаров проведена дезинсекция парков и скверов площадью более 78 тысяч </w:t>
      </w:r>
      <w:r>
        <w:rPr>
          <w:rFonts w:ascii="Times New Roman" w:hAnsi="Times New Roman"/>
          <w:sz w:val="28"/>
        </w:rPr>
        <w:t>кв.м.</w:t>
      </w:r>
    </w:p>
    <w:p w14:paraId="5C0594F1" w14:textId="77777777" w:rsidR="007D5243" w:rsidRDefault="0048312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lang w:eastAsia="ru-RU" w:bidi="ru-RU"/>
        </w:rPr>
        <w:t xml:space="preserve">В рамках исполнения полномочий по отлову и содержанию животных без владельцев в 2023 году конкурсная документация неоднократно размещалась на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официальном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сайте 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Единой информационной системы в сфере закупок</w:t>
      </w:r>
      <w:r>
        <w:rPr>
          <w:rFonts w:ascii="Times New Roman" w:hAnsi="Times New Roman"/>
          <w:color w:val="000000"/>
          <w:sz w:val="28"/>
          <w:lang w:eastAsia="ru-RU" w:bidi="ru-RU"/>
        </w:rPr>
        <w:t>.</w:t>
      </w:r>
      <w:r>
        <w:rPr>
          <w:rFonts w:ascii="Times New Roman" w:hAnsi="Times New Roman"/>
          <w:sz w:val="28"/>
          <w:szCs w:val="32"/>
        </w:rPr>
        <w:t xml:space="preserve"> Торги неоднократно были признаны несостоявшимися </w:t>
      </w:r>
      <w:r>
        <w:rPr>
          <w:rFonts w:ascii="Times New Roman" w:hAnsi="Times New Roman"/>
          <w:sz w:val="28"/>
        </w:rPr>
        <w:t>по причине отсутствия заявок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 (16 раз). </w:t>
      </w:r>
    </w:p>
    <w:p w14:paraId="5D2FC7E7" w14:textId="77777777" w:rsidR="007D5243" w:rsidRDefault="00483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В 2024 году будет продолжена работа по улучшению качества предоставляемых услуг, жилищных условий и благоустройству территории города Новоалтайска.</w:t>
      </w:r>
    </w:p>
    <w:p w14:paraId="0D14C768" w14:textId="77777777" w:rsidR="007D5243" w:rsidRDefault="0048312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территории города планируется продолжить обустраивать площадки (места) накопления ТКО, в планах - </w:t>
      </w:r>
      <w:r>
        <w:rPr>
          <w:rFonts w:ascii="Times New Roman" w:hAnsi="Times New Roman"/>
          <w:sz w:val="28"/>
          <w:szCs w:val="28"/>
          <w:highlight w:val="white"/>
        </w:rPr>
        <w:t>проектирование нового городского кладбища</w:t>
      </w:r>
      <w:r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71329621" w14:textId="77777777" w:rsidR="007D5243" w:rsidRDefault="00483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национального проекта «Безопасные качественные дороги» продолжится </w:t>
      </w:r>
      <w:r>
        <w:rPr>
          <w:rFonts w:ascii="Times New Roman" w:hAnsi="Times New Roman"/>
          <w:color w:val="000000"/>
          <w:sz w:val="28"/>
          <w:szCs w:val="28"/>
        </w:rPr>
        <w:t xml:space="preserve">ремонт дорог: </w:t>
      </w:r>
      <w:r>
        <w:rPr>
          <w:rFonts w:ascii="Times New Roman" w:hAnsi="Times New Roman"/>
          <w:sz w:val="28"/>
          <w:szCs w:val="28"/>
        </w:rPr>
        <w:t xml:space="preserve">в 2024 году запланировано отремонтировать </w:t>
      </w:r>
      <w:r>
        <w:rPr>
          <w:rFonts w:ascii="Times New Roman" w:hAnsi="Times New Roman"/>
          <w:sz w:val="28"/>
          <w:szCs w:val="28"/>
        </w:rPr>
        <w:br/>
        <w:t xml:space="preserve">5 участков улично-дорожной сети города общей протяженностью 4,15 км </w:t>
      </w:r>
      <w:r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</w:rPr>
        <w:t xml:space="preserve">ул. Пушкинская, ул. Лесная, ул. Анатолия, ул. Космонавтов, </w:t>
      </w:r>
      <w:r>
        <w:rPr>
          <w:rFonts w:ascii="Times New Roman" w:hAnsi="Times New Roman"/>
          <w:sz w:val="28"/>
        </w:rPr>
        <w:br/>
        <w:t>ул. П. Корчагина</w:t>
      </w:r>
      <w:r>
        <w:rPr>
          <w:rFonts w:ascii="Times New Roman" w:hAnsi="Times New Roman"/>
          <w:sz w:val="28"/>
          <w:szCs w:val="28"/>
        </w:rPr>
        <w:t>) с устройством тротуаров и остановочных пунктов.</w:t>
      </w:r>
    </w:p>
    <w:p w14:paraId="3CB6566A" w14:textId="77777777" w:rsidR="007D5243" w:rsidRDefault="00483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национального проекта «Жилье и городская среда» </w:t>
      </w:r>
      <w:r>
        <w:rPr>
          <w:rFonts w:ascii="Times New Roman" w:hAnsi="Times New Roman"/>
          <w:sz w:val="28"/>
          <w:szCs w:val="28"/>
        </w:rPr>
        <w:t xml:space="preserve">будут благоустроены две </w:t>
      </w:r>
      <w:r>
        <w:rPr>
          <w:rFonts w:ascii="Times New Roman" w:hAnsi="Times New Roman"/>
          <w:sz w:val="28"/>
          <w:szCs w:val="28"/>
        </w:rPr>
        <w:t xml:space="preserve">общественные территории – сквер «Лес Победы» и пешеходная зона по ул. Космонавтов, а также </w:t>
      </w:r>
      <w:r>
        <w:rPr>
          <w:rFonts w:ascii="Times New Roman" w:hAnsi="Times New Roman"/>
          <w:sz w:val="28"/>
          <w:szCs w:val="28"/>
        </w:rPr>
        <w:t xml:space="preserve">четыре дворовых проездов многоквартирных домов: ул. Анатолия, д. 19, ул. Октябрьская, д. 26а, </w:t>
      </w:r>
      <w:r>
        <w:rPr>
          <w:rFonts w:ascii="Times New Roman" w:hAnsi="Times New Roman"/>
          <w:sz w:val="28"/>
          <w:szCs w:val="28"/>
        </w:rPr>
        <w:br/>
        <w:t>ул. Прудская, д. 9а, ул. Энгельса, д. 2</w:t>
      </w:r>
      <w:r>
        <w:rPr>
          <w:rFonts w:ascii="Times New Roman" w:hAnsi="Times New Roman"/>
          <w:sz w:val="28"/>
          <w:szCs w:val="28"/>
          <w:lang w:eastAsia="ru-RU" w:bidi="ru-RU"/>
        </w:rPr>
        <w:t>.</w:t>
      </w:r>
    </w:p>
    <w:sectPr w:rsidR="007D5243">
      <w:headerReference w:type="default" r:id="rId7"/>
      <w:footerReference w:type="default" r:id="rId8"/>
      <w:pgSz w:w="11906" w:h="16838"/>
      <w:pgMar w:top="709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DACF" w14:textId="77777777" w:rsidR="007D5243" w:rsidRDefault="0048312A">
      <w:pPr>
        <w:spacing w:after="0" w:line="240" w:lineRule="auto"/>
      </w:pPr>
      <w:r>
        <w:separator/>
      </w:r>
    </w:p>
  </w:endnote>
  <w:endnote w:type="continuationSeparator" w:id="0">
    <w:p w14:paraId="09BA4D75" w14:textId="77777777" w:rsidR="007D5243" w:rsidRDefault="0048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*m*s*e*R*m*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2085" w14:textId="77777777" w:rsidR="007D5243" w:rsidRDefault="007D524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65D5" w14:textId="77777777" w:rsidR="007D5243" w:rsidRDefault="0048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6A3486F8" w14:textId="77777777" w:rsidR="007D5243" w:rsidRDefault="0048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A4B5" w14:textId="77777777" w:rsidR="007D5243" w:rsidRDefault="007D524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CFD"/>
    <w:multiLevelType w:val="hybridMultilevel"/>
    <w:tmpl w:val="59DCA360"/>
    <w:lvl w:ilvl="0" w:tplc="49A823E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2BA380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79D698B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4CA4AE4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118CAB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2D862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62A44A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C08451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8F87AA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D54847"/>
    <w:multiLevelType w:val="hybridMultilevel"/>
    <w:tmpl w:val="18E8C72E"/>
    <w:lvl w:ilvl="0" w:tplc="CD860B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D80A4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ABC83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D0C1B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99669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C64E8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82A23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A5C87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C5478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9EE1885"/>
    <w:multiLevelType w:val="hybridMultilevel"/>
    <w:tmpl w:val="C0C0F91A"/>
    <w:lvl w:ilvl="0" w:tplc="23024E24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sz w:val="24"/>
        <w:szCs w:val="24"/>
      </w:rPr>
    </w:lvl>
    <w:lvl w:ilvl="1" w:tplc="54A6FD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21A0EE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FE860EF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722200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26FE2B3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 w:tplc="C262CB5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70001B6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8BF6E6B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3A844E7"/>
    <w:multiLevelType w:val="hybridMultilevel"/>
    <w:tmpl w:val="1C74ECE2"/>
    <w:lvl w:ilvl="0" w:tplc="5292451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D794D8D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83BA17A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A4E625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BD64489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60D07FA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DA78C8C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5AA86AE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8FE398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CE11264"/>
    <w:multiLevelType w:val="hybridMultilevel"/>
    <w:tmpl w:val="4FCEE2A2"/>
    <w:lvl w:ilvl="0" w:tplc="E1C03B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562AA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D0C15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A1E6B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356E6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698FA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EE74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4ECA1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5C53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300069053">
    <w:abstractNumId w:val="2"/>
  </w:num>
  <w:num w:numId="2" w16cid:durableId="330374426">
    <w:abstractNumId w:val="3"/>
  </w:num>
  <w:num w:numId="3" w16cid:durableId="97918287">
    <w:abstractNumId w:val="1"/>
  </w:num>
  <w:num w:numId="4" w16cid:durableId="1575775760">
    <w:abstractNumId w:val="4"/>
  </w:num>
  <w:num w:numId="5" w16cid:durableId="111575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43"/>
    <w:rsid w:val="0048312A"/>
    <w:rsid w:val="005114C4"/>
    <w:rsid w:val="007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2D80"/>
  <w15:docId w15:val="{6A7B124E-CA5E-4B41-BBD0-1E7BC416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BorderedLined-Accent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eastAsia="Times New Roman" w:hAnsi="Arial" w:cs="Arial"/>
      <w:i/>
      <w:iCs/>
      <w:sz w:val="21"/>
      <w:szCs w:val="21"/>
    </w:rPr>
  </w:style>
  <w:style w:type="paragraph" w:styleId="a7">
    <w:name w:val="No Spacing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/>
    </w:rPr>
  </w:style>
  <w:style w:type="paragraph" w:styleId="a8">
    <w:name w:val="Title"/>
    <w:basedOn w:val="a"/>
    <w:next w:val="a"/>
    <w:link w:val="a9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99"/>
    <w:rPr>
      <w:rFonts w:cs="Times New Roman"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Pr>
      <w:i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Pr>
      <w:i/>
    </w:rPr>
  </w:style>
  <w:style w:type="paragraph" w:styleId="ae">
    <w:name w:val="header"/>
    <w:basedOn w:val="a"/>
    <w:link w:val="af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="Times New Roman"/>
    </w:rPr>
  </w:style>
  <w:style w:type="paragraph" w:styleId="af0">
    <w:name w:val="footer"/>
    <w:basedOn w:val="a"/>
    <w:link w:val="af1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af2">
    <w:name w:val="caption"/>
    <w:basedOn w:val="a"/>
    <w:next w:val="a"/>
    <w:uiPriority w:val="99"/>
    <w:qFormat/>
    <w:rPr>
      <w:b/>
      <w:bCs/>
      <w:color w:val="4F81BD"/>
      <w:sz w:val="18"/>
      <w:szCs w:val="18"/>
    </w:rPr>
  </w:style>
  <w:style w:type="character" w:customStyle="1" w:styleId="af1">
    <w:name w:val="Нижний колонтитул Знак"/>
    <w:link w:val="af0"/>
    <w:uiPriority w:val="99"/>
  </w:style>
  <w:style w:type="table" w:styleId="af3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Calibri"/>
        <w:b/>
        <w:caps/>
        <w:color w:val="404040"/>
      </w:rPr>
    </w:tblStylePr>
    <w:tblStylePr w:type="firstCol">
      <w:rPr>
        <w:rFonts w:cs="Calibri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Calibri"/>
        <w:b/>
        <w:caps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band1Vert">
      <w:rPr>
        <w:rFonts w:cs="Calibri"/>
      </w:rPr>
      <w:tblPr/>
      <w:tcPr>
        <w:shd w:val="clear" w:color="auto" w:fill="8A8A8A"/>
      </w:tcPr>
    </w:tblStylePr>
    <w:tblStylePr w:type="band1Horz">
      <w:rPr>
        <w:rFonts w:cs="Calibri"/>
      </w:rPr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band1Vert">
      <w:rPr>
        <w:rFonts w:cs="Calibri"/>
      </w:rPr>
      <w:tblPr/>
      <w:tcPr>
        <w:shd w:val="clear" w:color="auto" w:fill="AEC4E0"/>
      </w:tcPr>
    </w:tblStylePr>
    <w:tblStylePr w:type="band1Horz">
      <w:rPr>
        <w:rFonts w:cs="Calibri"/>
      </w:rPr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band1Vert">
      <w:rPr>
        <w:rFonts w:cs="Calibri"/>
      </w:rPr>
      <w:tblPr/>
      <w:tcPr>
        <w:shd w:val="clear" w:color="auto" w:fill="E2AEAD"/>
      </w:tcPr>
    </w:tblStylePr>
    <w:tblStylePr w:type="band1Horz">
      <w:rPr>
        <w:rFonts w:cs="Calibri"/>
      </w:rPr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band1Vert">
      <w:rPr>
        <w:rFonts w:cs="Calibri"/>
      </w:rPr>
      <w:tblPr/>
      <w:tcPr>
        <w:shd w:val="clear" w:color="auto" w:fill="D0DFB2"/>
      </w:tcPr>
    </w:tblStylePr>
    <w:tblStylePr w:type="band1Horz">
      <w:rPr>
        <w:rFonts w:cs="Calibri"/>
      </w:rPr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band1Vert">
      <w:rPr>
        <w:rFonts w:cs="Calibri"/>
      </w:rPr>
      <w:tblPr/>
      <w:tcPr>
        <w:shd w:val="clear" w:color="auto" w:fill="C4B7D4"/>
      </w:tcPr>
    </w:tblStylePr>
    <w:tblStylePr w:type="band1Horz">
      <w:rPr>
        <w:rFonts w:cs="Calibri"/>
      </w:rPr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band1Vert">
      <w:rPr>
        <w:rFonts w:cs="Calibri"/>
      </w:rPr>
      <w:tblPr/>
      <w:tcPr>
        <w:shd w:val="clear" w:color="auto" w:fill="ACD8E4"/>
      </w:tcPr>
    </w:tblStylePr>
    <w:tblStylePr w:type="band1Horz">
      <w:rPr>
        <w:rFonts w:cs="Calibri"/>
      </w:rPr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band1Vert">
      <w:rPr>
        <w:rFonts w:cs="Calibri"/>
      </w:rPr>
      <w:tblPr/>
      <w:tcPr>
        <w:shd w:val="clear" w:color="auto" w:fill="FBCEAA"/>
      </w:tcPr>
    </w:tblStylePr>
    <w:tblStylePr w:type="band1Horz">
      <w:rPr>
        <w:rFonts w:cs="Calibri"/>
      </w:rPr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Calibri"/>
        <w:b/>
        <w:color w:val="7F7F7F"/>
      </w:rPr>
    </w:tblStylePr>
    <w:tblStylePr w:type="firstCol">
      <w:rPr>
        <w:rFonts w:cs="Calibri"/>
        <w:b/>
        <w:color w:val="7F7F7F"/>
      </w:rPr>
    </w:tblStylePr>
    <w:tblStylePr w:type="lastCol">
      <w:rPr>
        <w:rFonts w:cs="Calibri"/>
        <w:b/>
        <w:color w:val="7F7F7F"/>
      </w:rPr>
    </w:tblStylePr>
    <w:tblStylePr w:type="band1Vert">
      <w:rPr>
        <w:rFonts w:cs="Calibri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Calibri"/>
        <w:b/>
        <w:color w:val="A6BFDD"/>
      </w:rPr>
    </w:tblStylePr>
    <w:tblStylePr w:type="firstCol">
      <w:rPr>
        <w:rFonts w:cs="Calibri"/>
        <w:b/>
        <w:color w:val="A6BFDD"/>
      </w:rPr>
    </w:tblStylePr>
    <w:tblStylePr w:type="lastCol">
      <w:rPr>
        <w:rFonts w:cs="Calibri"/>
        <w:b/>
        <w:color w:val="A6BFDD"/>
      </w:rPr>
    </w:tblStylePr>
    <w:tblStylePr w:type="band1Vert">
      <w:rPr>
        <w:rFonts w:cs="Calibri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Calibri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Calibri"/>
        <w:b/>
        <w:color w:val="D99695"/>
      </w:rPr>
    </w:tblStylePr>
    <w:tblStylePr w:type="firstCol">
      <w:rPr>
        <w:rFonts w:cs="Calibri"/>
        <w:b/>
        <w:color w:val="D99695"/>
      </w:rPr>
    </w:tblStylePr>
    <w:tblStylePr w:type="lastCol">
      <w:rPr>
        <w:rFonts w:cs="Calibri"/>
        <w:b/>
        <w:color w:val="D99695"/>
      </w:rPr>
    </w:tblStylePr>
    <w:tblStylePr w:type="band1Vert">
      <w:rPr>
        <w:rFonts w:cs="Calibri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Calibri"/>
        <w:b/>
        <w:color w:val="9ABB59"/>
      </w:rPr>
    </w:tblStylePr>
    <w:tblStylePr w:type="firstCol">
      <w:rPr>
        <w:rFonts w:cs="Calibri"/>
        <w:b/>
        <w:color w:val="9ABB59"/>
      </w:rPr>
    </w:tblStylePr>
    <w:tblStylePr w:type="lastCol">
      <w:rPr>
        <w:rFonts w:cs="Calibri"/>
        <w:b/>
        <w:color w:val="9ABB59"/>
      </w:rPr>
    </w:tblStylePr>
    <w:tblStylePr w:type="band1Vert">
      <w:rPr>
        <w:rFonts w:cs="Calibri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Calibri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Calibri"/>
        <w:b/>
        <w:color w:val="B2A1C6"/>
      </w:rPr>
    </w:tblStylePr>
    <w:tblStylePr w:type="firstCol">
      <w:rPr>
        <w:rFonts w:cs="Calibri"/>
        <w:b/>
        <w:color w:val="B2A1C6"/>
      </w:rPr>
    </w:tblStylePr>
    <w:tblStylePr w:type="lastCol">
      <w:rPr>
        <w:rFonts w:cs="Calibri"/>
        <w:b/>
        <w:color w:val="B2A1C6"/>
      </w:rPr>
    </w:tblStylePr>
    <w:tblStylePr w:type="band1Vert">
      <w:rPr>
        <w:rFonts w:cs="Calibri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Calibri"/>
        <w:b/>
        <w:color w:val="266779"/>
      </w:rPr>
    </w:tblStylePr>
    <w:tblStylePr w:type="firstCol">
      <w:rPr>
        <w:rFonts w:cs="Calibri"/>
        <w:b/>
        <w:color w:val="266779"/>
      </w:rPr>
    </w:tblStylePr>
    <w:tblStylePr w:type="lastCol">
      <w:rPr>
        <w:rFonts w:cs="Calibri"/>
        <w:b/>
        <w:color w:val="266779"/>
      </w:rPr>
    </w:tblStylePr>
    <w:tblStylePr w:type="band1Vert">
      <w:rPr>
        <w:rFonts w:cs="Calibri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Calibri"/>
        <w:b/>
        <w:color w:val="266779"/>
      </w:rPr>
    </w:tblStylePr>
    <w:tblStylePr w:type="firstCol">
      <w:rPr>
        <w:rFonts w:cs="Calibri"/>
        <w:b/>
        <w:color w:val="266779"/>
      </w:rPr>
    </w:tblStylePr>
    <w:tblStylePr w:type="lastCol">
      <w:rPr>
        <w:rFonts w:cs="Calibri"/>
        <w:b/>
        <w:color w:val="266779"/>
      </w:rPr>
    </w:tblStylePr>
    <w:tblStylePr w:type="band1Vert">
      <w:rPr>
        <w:rFonts w:cs="Calibri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-7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Calibri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Calibri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Calibri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cs="Calibri"/>
      </w:rPr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cs="Calibri"/>
      </w:rPr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cs="Calibri"/>
      </w:rPr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cs="Calibri"/>
      </w:rPr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cs="Calibri"/>
      </w:rPr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cs="Calibri"/>
      </w:rPr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color w:val="000000"/>
      </w:rPr>
    </w:tblStylePr>
    <w:tblStylePr w:type="lastCol">
      <w:rPr>
        <w:rFonts w:cs="Calibri"/>
        <w:b/>
        <w:color w:val="000000"/>
      </w:r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Calibri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Calibri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Calibri"/>
        <w:b/>
        <w:color w:val="2A4A71"/>
      </w:rPr>
    </w:tblStylePr>
    <w:tblStylePr w:type="lastCol">
      <w:rPr>
        <w:rFonts w:cs="Calibri"/>
        <w:b/>
        <w:color w:val="2A4A71"/>
      </w:r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Calibri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Calibri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Calibri"/>
        <w:b/>
        <w:color w:val="D99695"/>
      </w:rPr>
    </w:tblStylePr>
    <w:tblStylePr w:type="lastCol">
      <w:rPr>
        <w:rFonts w:cs="Calibri"/>
        <w:b/>
        <w:color w:val="D99695"/>
      </w:r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Calibri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Calibri"/>
        <w:b/>
        <w:color w:val="C3D69B"/>
      </w:rPr>
    </w:tblStylePr>
    <w:tblStylePr w:type="lastCol">
      <w:rPr>
        <w:rFonts w:cs="Calibri"/>
        <w:b/>
        <w:color w:val="C3D69B"/>
      </w:r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Calibri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Calibri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Calibri"/>
        <w:b/>
        <w:color w:val="B2A1C6"/>
      </w:rPr>
    </w:tblStylePr>
    <w:tblStylePr w:type="lastCol">
      <w:rPr>
        <w:rFonts w:cs="Calibri"/>
        <w:b/>
        <w:color w:val="B2A1C6"/>
      </w:r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Calibri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Calibri"/>
        <w:b/>
        <w:color w:val="92CCDC"/>
      </w:rPr>
    </w:tblStylePr>
    <w:tblStylePr w:type="lastCol">
      <w:rPr>
        <w:rFonts w:cs="Calibri"/>
        <w:b/>
        <w:color w:val="92CCDC"/>
      </w:r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Calibri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Calibri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Calibri"/>
        <w:b/>
        <w:color w:val="FAC090"/>
      </w:rPr>
    </w:tblStylePr>
    <w:tblStylePr w:type="lastCol">
      <w:rPr>
        <w:rFonts w:cs="Calibri"/>
        <w:b/>
        <w:color w:val="FAC090"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Calibri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Calibri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Calibri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Calibri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Calibri"/>
        <w:color w:val="FAC090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pPr>
      <w:spacing w:after="40" w:line="240" w:lineRule="auto"/>
    </w:pPr>
    <w:rPr>
      <w:sz w:val="18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sz w:val="18"/>
    </w:rPr>
  </w:style>
  <w:style w:type="character" w:styleId="af7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3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8">
    <w:name w:val="TOC Heading"/>
    <w:basedOn w:val="1"/>
    <w:uiPriority w:val="99"/>
    <w:qFormat/>
    <w:pPr>
      <w:keepNext w:val="0"/>
      <w:keepLines w:val="0"/>
      <w:spacing w:before="0"/>
      <w:outlineLvl w:val="9"/>
    </w:pPr>
    <w:rPr>
      <w:rFonts w:ascii="Calibri" w:hAnsi="Calibri" w:cs="Calibri"/>
      <w:sz w:val="22"/>
      <w:szCs w:val="22"/>
    </w:rPr>
  </w:style>
  <w:style w:type="paragraph" w:styleId="af9">
    <w:name w:val="Body Text"/>
    <w:link w:val="a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</w:pPr>
    <w:rPr>
      <w:rFonts w:eastAsia="Times New Roman" w:cs="Times New Roman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rPr>
      <w:rFonts w:eastAsia="Times New Roman" w:cs="Times New Roman"/>
      <w:sz w:val="22"/>
      <w:szCs w:val="22"/>
      <w:shd w:val="clear" w:color="auto" w:fill="auto"/>
      <w:lang w:val="ru-RU" w:eastAsia="en-US" w:bidi="ar-SA"/>
    </w:rPr>
  </w:style>
  <w:style w:type="paragraph" w:styleId="afb">
    <w:name w:val="Body Text First Indent"/>
    <w:next w:val="af5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ind w:firstLine="210"/>
    </w:pPr>
    <w:rPr>
      <w:rFonts w:eastAsia="Times New Roman" w:cs="Times New Roman"/>
      <w:lang w:eastAsia="en-US"/>
    </w:rPr>
  </w:style>
  <w:style w:type="character" w:customStyle="1" w:styleId="afc">
    <w:name w:val="Красная строка Знак"/>
    <w:basedOn w:val="afa"/>
    <w:link w:val="afb"/>
    <w:uiPriority w:val="99"/>
    <w:rPr>
      <w:rFonts w:eastAsia="Times New Roman" w:cs="Times New Roman"/>
      <w:sz w:val="22"/>
      <w:szCs w:val="22"/>
      <w:shd w:val="clear" w:color="auto" w:fill="auto"/>
      <w:lang w:val="ru-RU" w:eastAsia="en-US" w:bidi="ar-SA"/>
    </w:rPr>
  </w:style>
  <w:style w:type="paragraph" w:styleId="afd">
    <w:name w:val="List Paragraph"/>
    <w:basedOn w:val="a"/>
    <w:uiPriority w:val="99"/>
    <w:qFormat/>
    <w:pPr>
      <w:ind w:left="720"/>
    </w:pPr>
    <w:rPr>
      <w:color w:val="00000A"/>
    </w:rPr>
  </w:style>
  <w:style w:type="paragraph" w:customStyle="1" w:styleId="afe">
    <w:name w:val="Содержимое таблицы"/>
    <w:basedOn w:val="a"/>
    <w:uiPriority w:val="99"/>
    <w:rPr>
      <w:color w:val="00000A"/>
    </w:rPr>
  </w:style>
  <w:style w:type="character" w:customStyle="1" w:styleId="aff">
    <w:name w:val="Основной текст_"/>
    <w:uiPriority w:val="99"/>
    <w:rPr>
      <w:sz w:val="27"/>
    </w:rPr>
  </w:style>
  <w:style w:type="paragraph" w:customStyle="1" w:styleId="ConsNonformat">
    <w:name w:val="ConsNonformat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styleId="aff0">
    <w:name w:val="Emphasis"/>
    <w:basedOn w:val="a0"/>
    <w:qFormat/>
    <w:rPr>
      <w:i/>
      <w:iCs/>
    </w:rPr>
  </w:style>
  <w:style w:type="paragraph" w:customStyle="1" w:styleId="ListParagraphChar">
    <w:name w:val="List Paragraph Cha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ыделение жирным"/>
    <w:qFormat/>
    <w:rPr>
      <w:b/>
      <w:bCs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Nra">
    <w:name w:val="N*r*a*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hAnsi="Cambria"/>
      <w:sz w:val="24"/>
      <w:szCs w:val="24"/>
      <w:lang w:val="en-US" w:eastAsia="en-US"/>
    </w:rPr>
  </w:style>
  <w:style w:type="paragraph" w:customStyle="1" w:styleId="Lsaarphr">
    <w:name w:val="L*s* *a*a*r*p* *h*r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000000" w:fill="000000"/>
      <w:spacing w:after="200" w:line="276" w:lineRule="auto"/>
      <w:contextualSpacing/>
    </w:pPr>
    <w:rPr>
      <w:rFonts w:ascii="T*m*s*e*R*m*n" w:hAnsi="T*m*s*e*R*m*n"/>
      <w:color w:val="000000"/>
      <w:sz w:val="24"/>
      <w:szCs w:val="24"/>
      <w:lang w:val="en-US" w:eastAsia="en-US"/>
    </w:rPr>
  </w:style>
  <w:style w:type="character" w:customStyle="1" w:styleId="13">
    <w:name w:val="Гиперссылка1"/>
    <w:rPr>
      <w:color w:val="0000FF"/>
      <w:u w:val="single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7143</Characters>
  <Application>Microsoft Office Word</Application>
  <DocSecurity>0</DocSecurity>
  <Lines>59</Lines>
  <Paragraphs>16</Paragraphs>
  <ScaleCrop>false</ScaleCrop>
  <Company>Organization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UdovichenkoTI</dc:creator>
  <cp:keywords/>
  <dc:description/>
  <cp:lastModifiedBy>Дмитрий Любицкий</cp:lastModifiedBy>
  <cp:revision>2</cp:revision>
  <dcterms:created xsi:type="dcterms:W3CDTF">2024-02-28T05:39:00Z</dcterms:created>
  <dcterms:modified xsi:type="dcterms:W3CDTF">2024-02-28T05:39:00Z</dcterms:modified>
</cp:coreProperties>
</file>