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9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4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28.04.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876</w:t>
            </w:r>
            <w:r>
              <w:rPr>
                <w:sz w:val="28"/>
                <w:szCs w:val="28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4"/>
        <w:pBdr/>
        <w:spacing/>
        <w:ind w:right="481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04"/>
        <w:pBdr/>
        <w:spacing/>
        <w:ind w:right="481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 в постановление Администрации города Новоалтайска от 01.03.2022  № 295 </w:t>
      </w:r>
      <w:r>
        <w:rPr>
          <w:sz w:val="27"/>
          <w:szCs w:val="27"/>
        </w:rPr>
      </w:r>
    </w:p>
    <w:p>
      <w:pPr>
        <w:pStyle w:val="704"/>
        <w:pBdr/>
        <w:spacing/>
        <w:ind w:right="481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spacing/>
        <w:ind w:firstLine="698" w:left="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Федеральным законом от 27.07.2010 № 210-ФЗ </w:t>
      </w:r>
      <w:r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«Об организации предоставления государственных и муниципальных услуг, в соответствии с приказом </w:t>
      </w:r>
      <w:r>
        <w:rPr>
          <w:sz w:val="27"/>
          <w:szCs w:val="27"/>
        </w:rPr>
        <w:t xml:space="preserve">М</w:t>
      </w:r>
      <w:r>
        <w:rPr>
          <w:sz w:val="27"/>
          <w:szCs w:val="27"/>
        </w:rPr>
        <w:t xml:space="preserve">инистерства просвещения Российской Федерации от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4.03.2025 № 17</w:t>
      </w:r>
      <w:r>
        <w:rPr>
          <w:sz w:val="27"/>
          <w:szCs w:val="27"/>
        </w:rPr>
        <w:t xml:space="preserve">1</w:t>
      </w:r>
      <w:r>
        <w:rPr>
          <w:sz w:val="27"/>
          <w:szCs w:val="27"/>
        </w:rPr>
        <w:t xml:space="preserve"> «О внес</w:t>
      </w:r>
      <w:r>
        <w:rPr>
          <w:sz w:val="27"/>
          <w:szCs w:val="27"/>
        </w:rPr>
        <w:t xml:space="preserve">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г. № 458» п о с т а н о в л я ю: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numPr>
          <w:ilvl w:val="0"/>
          <w:numId w:val="6"/>
        </w:numPr>
        <w:pBdr/>
        <w:spacing/>
        <w:ind w:firstLine="708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в постановление Администрации города Новоалтайска от 01.03.2022 № 295 «Об утверждении административного регламента по предоставлению муниципальной услуги «Зачисление в общеобразовательную организацию» (далее – Регламент) следующие изменения: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spacing/>
        <w:ind w:firstLine="698" w:left="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</w:t>
      </w:r>
      <w:r>
        <w:rPr>
          <w:sz w:val="27"/>
          <w:szCs w:val="27"/>
        </w:rPr>
        <w:t xml:space="preserve"> Дополнить пункт 2.5. раздела 2 Регламента подпунктом 2.5.18</w:t>
      </w:r>
      <w:r>
        <w:rPr>
          <w:sz w:val="27"/>
          <w:szCs w:val="27"/>
          <w:vertAlign w:val="superscript"/>
        </w:rPr>
        <w:t xml:space="preserve">1</w:t>
      </w:r>
      <w:r>
        <w:rPr>
          <w:sz w:val="27"/>
          <w:szCs w:val="27"/>
        </w:rPr>
        <w:t xml:space="preserve">.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 xml:space="preserve">следующего содержания: «2.5.18</w:t>
      </w:r>
      <w:r>
        <w:rPr>
          <w:sz w:val="27"/>
          <w:szCs w:val="27"/>
          <w:vertAlign w:val="superscript"/>
        </w:rPr>
        <w:t xml:space="preserve">1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</w:t>
      </w:r>
      <w:r>
        <w:rPr>
          <w:sz w:val="27"/>
          <w:szCs w:val="27"/>
        </w:rPr>
        <w:t xml:space="preserve">риказом министерства просвещения Российской Федерации от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4.03.2025 № 17</w:t>
      </w:r>
      <w:r>
        <w:rPr>
          <w:sz w:val="27"/>
          <w:szCs w:val="27"/>
        </w:rPr>
        <w:t xml:space="preserve">1</w:t>
      </w:r>
      <w:r>
        <w:rPr>
          <w:sz w:val="27"/>
          <w:szCs w:val="27"/>
        </w:rPr>
        <w:t xml:space="preserve">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г. № 458».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</w:t>
      </w:r>
      <w:r>
        <w:rPr>
          <w:sz w:val="27"/>
          <w:szCs w:val="27"/>
        </w:rPr>
        <w:t xml:space="preserve"> Дополнить пункт 2.5. раздела 2 Регламента подпунктом 2.5.14</w:t>
      </w:r>
      <w:r>
        <w:rPr>
          <w:sz w:val="27"/>
          <w:szCs w:val="27"/>
          <w:vertAlign w:val="superscript"/>
        </w:rPr>
        <w:t xml:space="preserve">1</w:t>
      </w:r>
      <w:r>
        <w:rPr>
          <w:sz w:val="27"/>
          <w:szCs w:val="27"/>
        </w:rPr>
        <w:t xml:space="preserve">. следующего содержания: «2.5.14</w:t>
      </w:r>
      <w:r>
        <w:rPr>
          <w:sz w:val="27"/>
          <w:szCs w:val="27"/>
          <w:vertAlign w:val="superscript"/>
        </w:rPr>
        <w:t xml:space="preserve">1</w:t>
      </w:r>
      <w:r>
        <w:rPr>
          <w:sz w:val="27"/>
          <w:szCs w:val="27"/>
        </w:rPr>
        <w:t xml:space="preserve">. Федеральным законом от 25 июля 2002 г. </w:t>
      </w:r>
      <w:r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№</w:t>
      </w:r>
      <w:r>
        <w:rPr>
          <w:sz w:val="27"/>
          <w:szCs w:val="27"/>
        </w:rPr>
        <w:t xml:space="preserve"> 115-ФЗ "О правовом положении иностранных граждан в Российской Федерации".</w:t>
      </w:r>
      <w:r>
        <w:rPr>
          <w:sz w:val="27"/>
          <w:szCs w:val="27"/>
        </w:rPr>
      </w:r>
    </w:p>
    <w:p>
      <w:pPr>
        <w:pStyle w:val="682"/>
        <w:numPr>
          <w:ilvl w:val="1"/>
          <w:numId w:val="6"/>
        </w:numPr>
        <w:pBdr/>
        <w:tabs>
          <w:tab w:val="left" w:leader="none" w:pos="0"/>
        </w:tabs>
        <w:spacing w:before="240"/>
        <w:ind w:right="-1" w:firstLine="709" w:left="0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Пункт 2.9. раздела 2 Регламента изложить в новой редакции: «Родитель (родители) (законный (законные) представитель (представители) ребенк</w:t>
      </w:r>
      <w:r>
        <w:rPr>
          <w:sz w:val="27"/>
          <w:szCs w:val="27"/>
        </w:rPr>
        <w:t xml:space="preserve">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 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left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электронной форме посредством ЕПГУ;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через операторов почтовой связи общего пользования заказным письмом с уведомлением о вручении. 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документов, подтверждающих родство заявителя (заявителей) (или законность представления прав ребенка);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документов, подтверждающих зако</w:t>
      </w:r>
      <w:r>
        <w:rPr>
          <w:sz w:val="27"/>
          <w:szCs w:val="27"/>
        </w:rPr>
        <w:t xml:space="preserve">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</w:t>
      </w:r>
      <w:r>
        <w:rPr>
          <w:sz w:val="27"/>
          <w:szCs w:val="27"/>
        </w:rPr>
        <w:t xml:space="preserve">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от 29.12.2012 г. </w:t>
      </w:r>
      <w:r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№ 273-ФЗ «Об образовании в Российской Федерации»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 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документов, подтверждающих изучение русского языка ребенком, я</w:t>
      </w:r>
      <w:r>
        <w:rPr>
          <w:sz w:val="27"/>
          <w:szCs w:val="27"/>
        </w:rPr>
        <w:t xml:space="preserve">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документов, удостоверяющих личность ребенка, являющегося иностранным гражданином или лицом без гражданства, </w:t>
      </w:r>
      <w:r>
        <w:rPr>
          <w:sz w:val="27"/>
          <w:szCs w:val="27"/>
        </w:rPr>
        <w:t xml:space="preserve">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от 29.12.2012 г. № 273-ФЗ «Об образовании в Российской Федерации</w:t>
      </w:r>
      <w:r>
        <w:rPr>
          <w:sz w:val="27"/>
          <w:szCs w:val="27"/>
        </w:rPr>
        <w:t xml:space="preserve">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</w:t>
      </w:r>
      <w:r>
        <w:rPr>
          <w:sz w:val="27"/>
          <w:szCs w:val="27"/>
        </w:rPr>
        <w:t xml:space="preserve">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</w:t>
      </w:r>
      <w:r>
        <w:rPr>
          <w:sz w:val="27"/>
          <w:szCs w:val="27"/>
        </w:rPr>
        <w:t xml:space="preserve">енты, предусмотренные Федеральным законом от 29.12.2012 г. № 273-ФЗ «Об образовании в Российской Федерации»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</w:t>
      </w:r>
      <w:r>
        <w:rPr>
          <w:sz w:val="27"/>
          <w:szCs w:val="27"/>
        </w:rPr>
        <w:t xml:space="preserve">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</w:t>
      </w:r>
      <w:r>
        <w:rPr>
          <w:sz w:val="27"/>
          <w:szCs w:val="27"/>
        </w:rPr>
        <w:t xml:space="preserve">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"https://login.consultant.ru/link/?req=doc&amp;base=LAW&amp;n=481289&amp;date=20.03.2025&amp;dst=100460&amp;field=134" \o "Федеральный закон от 21.11.2011 N 323-ФЗ (ред. от 28.12.2024) \"Об основах охраны здоровья граждан в Российской Федерации\" (с изм. и доп</w:instrText>
      </w:r>
      <w:r>
        <w:rPr>
          <w:sz w:val="27"/>
          <w:szCs w:val="27"/>
        </w:rPr>
        <w:instrText xml:space="preserve">., вступ. в силу с 01.03.2025) {КонсультантПлюс}" \h</w:instrText>
      </w:r>
      <w:r>
        <w:rPr>
          <w:sz w:val="27"/>
          <w:szCs w:val="27"/>
        </w:rPr>
        <w:fldChar w:fldCharType="separate"/>
      </w:r>
      <w:r>
        <w:rPr>
          <w:color w:val="0000ff"/>
          <w:sz w:val="27"/>
          <w:szCs w:val="27"/>
        </w:rPr>
        <w:t xml:space="preserve">частью 2 статьи 43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Федерального закона от 21 ноября 2011 г.</w:t>
      </w: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</w:t>
      </w:r>
      <w:r>
        <w:rPr>
          <w:sz w:val="27"/>
          <w:szCs w:val="27"/>
        </w:rPr>
        <w:t xml:space="preserve"> 323-ФЗ "Об основах охраны здоровья граждан в Российской Федерации";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документов, подтверждающих осуществление родителем (законным представителем) трудовой деятельности (при наличии).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Требования настоящего пункта не распространяются на иностранных граждан, указанных в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"https://login.consultant.ru/link/?req=d</w:instrText>
      </w:r>
      <w:r>
        <w:rPr>
          <w:sz w:val="27"/>
          <w:szCs w:val="27"/>
        </w:rPr>
        <w:instrText xml:space="preserve">oc&amp;base=LAW&amp;n=483128&amp;date=20.03.2025&amp;dst=1423&amp;field=134" \o "Федеральный закон от 25.07.2002 N 115-ФЗ (ред. от 28.12.2024) \"О правовом положении иностранных граждан в Российской Федерации\" (с изм. и доп., вступ. в силу с 05.02.2025) {КонсультантПлюс}" \h</w:instrText>
      </w:r>
      <w:r>
        <w:rPr>
          <w:sz w:val="27"/>
          <w:szCs w:val="27"/>
        </w:rPr>
        <w:fldChar w:fldCharType="separate"/>
      </w:r>
      <w:r>
        <w:rPr>
          <w:color w:val="0000ff"/>
          <w:sz w:val="27"/>
          <w:szCs w:val="27"/>
        </w:rPr>
        <w:t xml:space="preserve">подпункте 2 пункта 20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и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"https://login.consultant.ru/link/?req=d</w:instrText>
      </w:r>
      <w:r>
        <w:rPr>
          <w:sz w:val="27"/>
          <w:szCs w:val="27"/>
        </w:rPr>
        <w:instrText xml:space="preserve">oc&amp;base=LAW&amp;n=483128&amp;date=20.03.2025&amp;dst=1425&amp;field=134" \o "Федеральный закон от 25.07.2002 N 115-ФЗ (ред. от 28.12.2024) \"О правовом положении иностранных граждан в Российской Федерации\" (с изм. и доп., вступ. в силу с 05.02.2025) {КонсультантПлюс}" \h</w:instrText>
      </w:r>
      <w:r>
        <w:rPr>
          <w:sz w:val="27"/>
          <w:szCs w:val="27"/>
        </w:rPr>
        <w:fldChar w:fldCharType="separate"/>
      </w:r>
      <w:r>
        <w:rPr>
          <w:color w:val="0000ff"/>
          <w:sz w:val="27"/>
          <w:szCs w:val="27"/>
        </w:rPr>
        <w:t xml:space="preserve">пункте 21 статьи 5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Федерального закона от 25 июля 2002 г. </w:t>
      </w:r>
      <w:r>
        <w:rPr>
          <w:sz w:val="27"/>
          <w:szCs w:val="27"/>
        </w:rPr>
        <w:t xml:space="preserve">№</w:t>
      </w:r>
      <w:r>
        <w:rPr>
          <w:sz w:val="27"/>
          <w:szCs w:val="27"/>
        </w:rPr>
        <w:t xml:space="preserve"> 115-ФЗ "О правовом положении иностранных граждан в Российской Федерации".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Иностранные граждане, указанные в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"https://login.consultant.ru/link/?req=d</w:instrText>
      </w:r>
      <w:r>
        <w:rPr>
          <w:sz w:val="27"/>
          <w:szCs w:val="27"/>
        </w:rPr>
        <w:instrText xml:space="preserve">oc&amp;base=LAW&amp;n=483128&amp;date=20.03.2025&amp;dst=1423&amp;field=134" \o "Федеральный закон от 25.07.2002 N 115-ФЗ (ред. от 28.12.2024) \"О правовом положении иностранных граждан в Российской Федерации\" (с изм. и доп., вступ. в силу с 05.02.2025) {КонсультантПлюс}" \h</w:instrText>
      </w:r>
      <w:r>
        <w:rPr>
          <w:sz w:val="27"/>
          <w:szCs w:val="27"/>
        </w:rPr>
        <w:fldChar w:fldCharType="separate"/>
      </w:r>
      <w:r>
        <w:rPr>
          <w:color w:val="0000ff"/>
          <w:sz w:val="27"/>
          <w:szCs w:val="27"/>
        </w:rPr>
        <w:t xml:space="preserve">подпункте 2 пункта 20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и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"https://login.consultant.ru/link/?req=d</w:instrText>
      </w:r>
      <w:r>
        <w:rPr>
          <w:sz w:val="27"/>
          <w:szCs w:val="27"/>
        </w:rPr>
        <w:instrText xml:space="preserve">oc&amp;base=LAW&amp;n=483128&amp;date=20.03.2025&amp;dst=1425&amp;field=134" \o "Федеральный закон от 25.07.2002 N 115-ФЗ (ред. от 28.12.2024) \"О правовом положении иностранных граждан в Российской Федерации\" (с изм. и доп., вступ. в силу с 05.02.2025) {КонсультантПлюс}" \h</w:instrText>
      </w:r>
      <w:r>
        <w:rPr>
          <w:sz w:val="27"/>
          <w:szCs w:val="27"/>
        </w:rPr>
        <w:fldChar w:fldCharType="separate"/>
      </w:r>
      <w:r>
        <w:rPr>
          <w:color w:val="0000ff"/>
          <w:sz w:val="27"/>
          <w:szCs w:val="27"/>
        </w:rPr>
        <w:t xml:space="preserve">пункте 21 статьи 5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Федерального закона от 25 июля 2002 г. </w:t>
      </w:r>
      <w:r>
        <w:rPr>
          <w:sz w:val="27"/>
          <w:szCs w:val="27"/>
        </w:rPr>
        <w:t xml:space="preserve">№</w:t>
      </w:r>
      <w:r>
        <w:rPr>
          <w:sz w:val="27"/>
          <w:szCs w:val="27"/>
        </w:rPr>
        <w:t xml:space="preserve"> 115-ФЗ "О правовом положении иностранных граждан в Российской Федерации" предъявляют следующие документы: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копию свидетельства о рождении ребенка;</w:t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копию паспорта;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справку о регистрации по месту жительства.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tabs>
          <w:tab w:val="left" w:leader="none" w:pos="0"/>
        </w:tabs>
        <w:spacing w:before="240"/>
        <w:ind w:right="-1" w:firstLine="709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</w:t>
      </w:r>
      <w:r>
        <w:rPr>
          <w:sz w:val="27"/>
          <w:szCs w:val="27"/>
        </w:rPr>
        <w:t xml:space="preserve">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подтверждение которых в электронном виде невозможно.".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numPr>
          <w:ilvl w:val="1"/>
          <w:numId w:val="6"/>
        </w:numPr>
        <w:pBdr/>
        <w:tabs>
          <w:tab w:val="left" w:leader="none" w:pos="0"/>
        </w:tabs>
        <w:spacing w:before="240"/>
        <w:ind w:right="-1" w:firstLine="709" w:left="0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Пункт 2.10. раздела 2 Регламента изложить в новой редакции: «2.10. Абзацы 1-4, 7-9,11-13 пункта 2.9. Регламента не распространяются на граждан Республики Беларусь.».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numPr>
          <w:ilvl w:val="1"/>
          <w:numId w:val="6"/>
        </w:numPr>
        <w:pBdr/>
        <w:tabs>
          <w:tab w:val="left" w:leader="none" w:pos="0"/>
        </w:tabs>
        <w:spacing w:before="240"/>
        <w:ind w:right="-1" w:firstLine="709" w:left="0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2.13.1. пункта 2.13. раздела 2 Регламента слова «пунктом 2.6.2» заменить словами «пунктами 2.6.2, 2.9».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numPr>
          <w:ilvl w:val="1"/>
          <w:numId w:val="6"/>
        </w:numPr>
        <w:pBdr/>
        <w:tabs>
          <w:tab w:val="left" w:leader="none" w:pos="0"/>
        </w:tabs>
        <w:spacing w:before="240"/>
        <w:ind w:right="-1" w:firstLine="709" w:left="0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2.13.2. пункта 2.13. раздела 2 Регламента слова «пунктом 2.6.2»  заменить словами «пунктами 2.6.2, 2.9».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numPr>
          <w:ilvl w:val="1"/>
          <w:numId w:val="6"/>
        </w:numPr>
        <w:pBdr/>
        <w:tabs>
          <w:tab w:val="left" w:leader="none" w:pos="0"/>
        </w:tabs>
        <w:spacing w:before="240"/>
        <w:ind w:right="-1" w:firstLine="709" w:left="0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Предложение первое подпункта 2.14.1. пункта 2.14. раздела 2 Регламента изложить в 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ово</w:t>
      </w:r>
      <w:r>
        <w:rPr>
          <w:sz w:val="27"/>
          <w:szCs w:val="27"/>
        </w:rPr>
        <w:t xml:space="preserve">й</w:t>
      </w:r>
      <w:r>
        <w:rPr>
          <w:sz w:val="27"/>
          <w:szCs w:val="27"/>
        </w:rPr>
        <w:t xml:space="preserve"> редакции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  <w:t xml:space="preserve"> «2.14.1.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частью 2</w:t>
      </w:r>
      <w:r>
        <w:rPr>
          <w:sz w:val="27"/>
          <w:szCs w:val="27"/>
          <w:vertAlign w:val="superscript"/>
        </w:rPr>
        <w:t xml:space="preserve">1</w:t>
      </w:r>
      <w:r>
        <w:rPr>
          <w:sz w:val="27"/>
          <w:szCs w:val="27"/>
        </w:rPr>
        <w:t xml:space="preserve"> статьи 78 Федерального закона от 29.12.2012г.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№ 273-ФЗ «Об образовании в Российской Федерации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  <w:t xml:space="preserve">, за исключением случаев, предусмотренных частями 5 и 6 статьи 67 и статьей 88 Федерального закона от 29.12.2012г. № 273-ФЗ «Об образовании в Российской Федерации».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numPr>
          <w:ilvl w:val="1"/>
          <w:numId w:val="6"/>
        </w:numPr>
        <w:pBdr/>
        <w:tabs>
          <w:tab w:val="left" w:leader="none" w:pos="0"/>
        </w:tabs>
        <w:spacing w:before="240"/>
        <w:ind w:right="-1" w:firstLine="709" w:left="0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3.6.1. пункта 3.6. раздела 3 Регламента после первого абзаца добавить абзац следующего содержания: «При поступлении от родителя (родителей) (законного (законных) представителя (представителей) ребенка, являющегося иностранным гражданином или</w:t>
      </w:r>
      <w:r>
        <w:rPr>
          <w:sz w:val="27"/>
          <w:szCs w:val="27"/>
        </w:rPr>
        <w:t xml:space="preserve"> лицом без гражданства, или поступающий, являющийся иностранным гражданином или лицом без гражданства, заявления о приеме на обучение и полного комплекта документов, предусмотренных пунктом 2.9. раздела 2 Регламента, ответственный исполнитель общеобразоват</w:t>
      </w:r>
      <w:r>
        <w:rPr>
          <w:sz w:val="27"/>
          <w:szCs w:val="27"/>
        </w:rPr>
        <w:t xml:space="preserve">ельной организации осуществляет их рассмотрение на предмет соответствия требованиям пункта 2.9. раздела 2 Регламента. Срок рассмотрения составляет 5 рабочих дней. В случае предоставления неполного комплекта документов общеобразовательная организация возвра</w:t>
      </w:r>
      <w:r>
        <w:rPr>
          <w:sz w:val="27"/>
          <w:szCs w:val="27"/>
        </w:rPr>
        <w:t xml:space="preserve">щает заявление без его рассмотрения. В случае предоставления полного комплекта документов, предоставленных в соответствии с пунктом 2.9. раздела 2 Регламента общеобразовательная организация осуществляет проверку их достоверности в течение 25 рабочих дней».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numPr>
          <w:ilvl w:val="1"/>
          <w:numId w:val="6"/>
        </w:numPr>
        <w:pBdr/>
        <w:tabs>
          <w:tab w:val="left" w:leader="none" w:pos="0"/>
        </w:tabs>
        <w:spacing w:before="240"/>
        <w:ind w:right="-1" w:firstLine="709" w:left="0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3.7.2. пункта 3.7. раздела 3 Регламента слова «предусмотренных пунктами 2.6.1. и 2.6.2.» заменить словами «предусмотренных пунктами 2.6.1., 2.6.2 и 2.9».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numPr>
          <w:ilvl w:val="0"/>
          <w:numId w:val="6"/>
        </w:numPr>
        <w:pBdr/>
        <w:tabs>
          <w:tab w:val="left" w:leader="none" w:pos="0"/>
        </w:tabs>
        <w:spacing w:after="3" w:before="240" w:line="268" w:lineRule="auto"/>
        <w:ind w:right="-1" w:firstLine="675" w:left="0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Действие настоящего постановления распространить </w:t>
      </w:r>
      <w:r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 xml:space="preserve">с 01.04.02025 года.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numPr>
          <w:ilvl w:val="0"/>
          <w:numId w:val="6"/>
        </w:numPr>
        <w:pBdr/>
        <w:tabs>
          <w:tab w:val="left" w:leader="none" w:pos="0"/>
        </w:tabs>
        <w:spacing w:after="3" w:before="240" w:line="268" w:lineRule="auto"/>
        <w:ind w:right="-1" w:firstLine="675" w:left="0"/>
        <w:contextualSpacing w:val="tru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Опубликовать настоящее постановление в Вестнике городского округа города Новоалтайска Алтайского края и разместить на официальном сайте города Новоалтайска в сети «Интернет».</w:t>
      </w:r>
      <w:r>
        <w:rPr>
          <w:sz w:val="27"/>
          <w:szCs w:val="27"/>
        </w:rPr>
      </w:r>
    </w:p>
    <w:p>
      <w:pPr>
        <w:pStyle w:val="682"/>
        <w:numPr>
          <w:ilvl w:val="0"/>
          <w:numId w:val="6"/>
        </w:numPr>
        <w:pBdr/>
        <w:spacing/>
        <w:ind w:firstLine="709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города по социальным вопросам                   Н.Г. Ерохину.</w:t>
      </w:r>
      <w:r>
        <w:rPr>
          <w:sz w:val="27"/>
          <w:szCs w:val="27"/>
        </w:rPr>
      </w:r>
    </w:p>
    <w:p>
      <w:pPr>
        <w:pStyle w:val="682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spacing/>
        <w:ind/>
        <w:jc w:val="both"/>
        <w:rPr>
          <w:color w:val="000000"/>
          <w:spacing w:val="4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 xml:space="preserve">Глава города</w:t>
        <w:tab/>
        <w:tab/>
        <w:tab/>
        <w:tab/>
        <w:tab/>
        <w:t xml:space="preserve">                          </w:t>
      </w:r>
      <w:r>
        <w:rPr>
          <w:color w:val="000000"/>
          <w:spacing w:val="4"/>
          <w:sz w:val="27"/>
          <w:szCs w:val="27"/>
        </w:rPr>
        <w:t xml:space="preserve">    </w:t>
      </w:r>
      <w:r>
        <w:rPr>
          <w:color w:val="000000"/>
          <w:spacing w:val="4"/>
          <w:sz w:val="27"/>
          <w:szCs w:val="27"/>
        </w:rPr>
        <w:t xml:space="preserve">           В.Г. Бодунов</w:t>
      </w:r>
      <w:r>
        <w:rPr>
          <w:color w:val="000000"/>
          <w:spacing w:val="4"/>
          <w:sz w:val="27"/>
          <w:szCs w:val="27"/>
        </w:rPr>
      </w:r>
    </w:p>
    <w:p>
      <w:pPr>
        <w:pStyle w:val="682"/>
        <w:pBdr/>
        <w:spacing/>
        <w:ind w:firstLine="708"/>
        <w:jc w:val="both"/>
        <w:rPr>
          <w:color w:val="000000"/>
          <w:spacing w:val="4"/>
          <w:sz w:val="27"/>
          <w:szCs w:val="27"/>
        </w:rPr>
      </w:pPr>
      <w:r>
        <w:rPr>
          <w:color w:val="000000"/>
          <w:spacing w:val="4"/>
          <w:sz w:val="27"/>
          <w:szCs w:val="27"/>
        </w:rPr>
      </w:r>
      <w:r>
        <w:rPr>
          <w:color w:val="000000"/>
          <w:spacing w:val="4"/>
          <w:sz w:val="27"/>
          <w:szCs w:val="27"/>
        </w:rPr>
      </w:r>
    </w:p>
    <w:p>
      <w:pPr>
        <w:pStyle w:val="682"/>
        <w:pBdr/>
        <w:spacing/>
        <w:ind w:left="675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96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framePr w:hAnchor="margin" w:vAnchor="text" w:wrap="around" w:xAlign="right" w:y="1"/>
      <w:pBdr/>
      <w:spacing/>
      <w:ind/>
      <w:rPr>
        <w:rStyle w:val="697"/>
      </w:rPr>
    </w:pPr>
    <w:r>
      <w:rPr>
        <w:rStyle w:val="697"/>
      </w:rPr>
      <w:fldChar w:fldCharType="begin"/>
    </w:r>
    <w:r>
      <w:rPr>
        <w:rStyle w:val="697"/>
      </w:rPr>
      <w:instrText xml:space="preserve">PAGE  </w:instrText>
    </w:r>
    <w:r>
      <w:rPr>
        <w:rStyle w:val="697"/>
      </w:rPr>
      <w:fldChar w:fldCharType="separate"/>
    </w:r>
    <w:r>
      <w:rPr>
        <w:rStyle w:val="697"/>
      </w:rPr>
      <w:t xml:space="preserve">24</w:t>
    </w:r>
    <w:r>
      <w:rPr>
        <w:rStyle w:val="697"/>
      </w:rPr>
      <w:fldChar w:fldCharType="end"/>
    </w:r>
    <w:r>
      <w:rPr>
        <w:rStyle w:val="697"/>
      </w:rPr>
    </w:r>
    <w:r>
      <w:rPr>
        <w:rStyle w:val="697"/>
      </w:rPr>
    </w:r>
  </w:p>
  <w:p>
    <w:pPr>
      <w:pStyle w:val="69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2130"/>
      </w:pPr>
      <w:rPr/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83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894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59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58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63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422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484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35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2130"/>
      </w:pPr>
      <w:rPr>
        <w:sz w:val="28"/>
        <w:szCs w:val="28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86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9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69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79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885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6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715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004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5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4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4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2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2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2"/>
    <w:next w:val="68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2"/>
    <w:next w:val="68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2"/>
    <w:next w:val="68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2"/>
    <w:next w:val="68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2"/>
    <w:next w:val="68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2"/>
    <w:next w:val="68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2"/>
    <w:next w:val="68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2"/>
    <w:next w:val="68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2"/>
    <w:next w:val="68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2"/>
    <w:next w:val="68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2"/>
    <w:next w:val="68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2"/>
    <w:next w:val="68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2"/>
    <w:next w:val="68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2"/>
    <w:next w:val="6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2"/>
    <w:next w:val="682"/>
    <w:uiPriority w:val="99"/>
    <w:unhideWhenUsed/>
    <w:pPr>
      <w:pBdr/>
      <w:spacing w:after="0" w:afterAutospacing="0"/>
      <w:ind/>
    </w:pPr>
  </w:style>
  <w:style w:type="paragraph" w:styleId="682" w:default="1">
    <w:name w:val="Normal"/>
    <w:next w:val="682"/>
    <w:link w:val="682"/>
    <w:qFormat/>
    <w:pPr>
      <w:pBdr/>
      <w:spacing/>
      <w:ind/>
    </w:pPr>
    <w:rPr>
      <w:lang w:val="ru-RU" w:eastAsia="ru-RU" w:bidi="ar-SA"/>
    </w:rPr>
  </w:style>
  <w:style w:type="paragraph" w:styleId="683">
    <w:name w:val="Заголовок 1"/>
    <w:basedOn w:val="682"/>
    <w:next w:val="682"/>
    <w:link w:val="682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4">
    <w:name w:val="Заголовок 2"/>
    <w:basedOn w:val="682"/>
    <w:next w:val="682"/>
    <w:link w:val="682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5">
    <w:name w:val="Заголовок 3"/>
    <w:basedOn w:val="682"/>
    <w:next w:val="682"/>
    <w:link w:val="682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6">
    <w:name w:val="Заголовок 4"/>
    <w:basedOn w:val="682"/>
    <w:next w:val="682"/>
    <w:link w:val="682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7">
    <w:name w:val="Заголовок 5"/>
    <w:basedOn w:val="682"/>
    <w:next w:val="682"/>
    <w:link w:val="682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8">
    <w:name w:val="Заголовок 6"/>
    <w:basedOn w:val="682"/>
    <w:next w:val="682"/>
    <w:link w:val="682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9">
    <w:name w:val="Заголовок 7"/>
    <w:basedOn w:val="682"/>
    <w:next w:val="682"/>
    <w:link w:val="682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0">
    <w:name w:val="Заголовок 8"/>
    <w:basedOn w:val="682"/>
    <w:next w:val="682"/>
    <w:link w:val="682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1">
    <w:name w:val="Заголовок 9"/>
    <w:basedOn w:val="682"/>
    <w:next w:val="682"/>
    <w:link w:val="682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2">
    <w:name w:val="Основной шрифт абзаца"/>
    <w:next w:val="692"/>
    <w:link w:val="682"/>
    <w:semiHidden/>
    <w:pPr>
      <w:pBdr/>
      <w:spacing/>
      <w:ind/>
    </w:pPr>
  </w:style>
  <w:style w:type="table" w:styleId="693">
    <w:name w:val="Обычная таблица"/>
    <w:next w:val="693"/>
    <w:link w:val="6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4">
    <w:name w:val="Нет списка"/>
    <w:next w:val="694"/>
    <w:link w:val="682"/>
    <w:semiHidden/>
    <w:pPr>
      <w:pBdr/>
      <w:spacing/>
      <w:ind/>
    </w:pPr>
  </w:style>
  <w:style w:type="paragraph" w:styleId="695">
    <w:name w:val="Верхний колонтитул"/>
    <w:basedOn w:val="682"/>
    <w:next w:val="695"/>
    <w:link w:val="682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6">
    <w:name w:val="Нижний колонтитул"/>
    <w:basedOn w:val="682"/>
    <w:next w:val="696"/>
    <w:link w:val="68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7">
    <w:name w:val="Номер страницы"/>
    <w:basedOn w:val="692"/>
    <w:next w:val="697"/>
    <w:link w:val="682"/>
    <w:pPr>
      <w:pBdr/>
      <w:spacing/>
      <w:ind/>
    </w:pPr>
  </w:style>
  <w:style w:type="paragraph" w:styleId="698">
    <w:name w:val="Основной текст с отступом"/>
    <w:basedOn w:val="682"/>
    <w:next w:val="698"/>
    <w:link w:val="682"/>
    <w:pPr>
      <w:pBdr/>
      <w:spacing w:line="360" w:lineRule="auto"/>
      <w:ind w:firstLine="720"/>
      <w:jc w:val="both"/>
    </w:pPr>
    <w:rPr>
      <w:sz w:val="28"/>
    </w:rPr>
  </w:style>
  <w:style w:type="paragraph" w:styleId="699">
    <w:name w:val="Основной текст"/>
    <w:basedOn w:val="682"/>
    <w:next w:val="699"/>
    <w:link w:val="682"/>
    <w:pPr>
      <w:pBdr/>
      <w:spacing w:line="240" w:lineRule="exact"/>
      <w:ind/>
      <w:jc w:val="both"/>
    </w:pPr>
    <w:rPr>
      <w:sz w:val="28"/>
    </w:rPr>
  </w:style>
  <w:style w:type="paragraph" w:styleId="700">
    <w:name w:val="Основной текст 2"/>
    <w:basedOn w:val="682"/>
    <w:next w:val="700"/>
    <w:link w:val="682"/>
    <w:pPr>
      <w:pBdr/>
      <w:spacing w:line="240" w:lineRule="exact"/>
      <w:ind/>
    </w:pPr>
    <w:rPr>
      <w:sz w:val="28"/>
      <w:lang w:val="en-US"/>
    </w:rPr>
  </w:style>
  <w:style w:type="paragraph" w:styleId="701">
    <w:name w:val="Название объекта"/>
    <w:basedOn w:val="682"/>
    <w:next w:val="682"/>
    <w:link w:val="682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2">
    <w:name w:val="Схема документа"/>
    <w:basedOn w:val="682"/>
    <w:next w:val="702"/>
    <w:link w:val="682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3">
    <w:name w:val="Текст выноски"/>
    <w:basedOn w:val="682"/>
    <w:next w:val="703"/>
    <w:link w:val="68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04">
    <w:name w:val="Без интервала"/>
    <w:next w:val="704"/>
    <w:link w:val="682"/>
    <w:uiPriority w:val="1"/>
    <w:qFormat/>
    <w:pPr>
      <w:pBdr/>
      <w:spacing/>
      <w:ind/>
    </w:pPr>
    <w:rPr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revision>16</cp:revision>
  <dcterms:created xsi:type="dcterms:W3CDTF">2025-04-25T02:57:00Z</dcterms:created>
  <dcterms:modified xsi:type="dcterms:W3CDTF">2025-04-30T07:43:15Z</dcterms:modified>
  <cp:version>786432</cp:version>
</cp:coreProperties>
</file>