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7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0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0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2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23.01.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№</w:t>
            </w:r>
            <w:r>
              <w:rPr>
                <w:sz w:val="28"/>
                <w:szCs w:val="28"/>
              </w:rPr>
              <w:t xml:space="preserve"> 76</w:t>
            </w:r>
            <w:r>
              <w:rPr>
                <w:sz w:val="28"/>
                <w:szCs w:val="28"/>
              </w:rPr>
            </w:r>
          </w:p>
          <w:p>
            <w:pPr>
              <w:pStyle w:val="6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-85089</wp:posOffset>
                </wp:positionH>
                <wp:positionV relativeFrom="paragraph">
                  <wp:posOffset>99695</wp:posOffset>
                </wp:positionV>
                <wp:extent cx="2813685" cy="156781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368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 xml:space="preserve">О мерах по реализации решения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Новоалтайского городского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Собрания депутатов «О бюджете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городского округа города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Новоалтайска на 202</w:t>
                            </w:r>
                            <w:r>
                              <w:rPr>
                                <w:sz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</w:rPr>
                              <w:t xml:space="preserve"> год и на плановый</w:t>
                            </w:r>
                            <w:r>
                              <w:rPr>
                                <w:sz w:val="28"/>
                              </w:rPr>
                              <w:t xml:space="preserve"> период 202</w:t>
                            </w:r>
                            <w:r>
                              <w:rPr>
                                <w:sz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</w:rPr>
                              <w:t xml:space="preserve"> и 202</w:t>
                            </w:r>
                            <w:r>
                              <w:rPr>
                                <w:sz w:val="28"/>
                              </w:rPr>
                              <w:t xml:space="preserve"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годов»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6.70pt;mso-position-horizontal:absolute;mso-position-vertical-relative:text;margin-top:7.85pt;mso-position-vertical:absolute;width:221.55pt;height:123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0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</w:rPr>
                        <w:t xml:space="preserve">О мерах по реализации решения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Новоалтайского городского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Собрания депутатов «О бюджете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городского округа города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Новоалтайска на 202</w:t>
                      </w:r>
                      <w:r>
                        <w:rPr>
                          <w:sz w:val="28"/>
                        </w:rPr>
                        <w:t xml:space="preserve">5</w:t>
                      </w:r>
                      <w:r>
                        <w:rPr>
                          <w:sz w:val="28"/>
                        </w:rPr>
                        <w:t xml:space="preserve"> год и на плановый</w:t>
                      </w:r>
                      <w:r>
                        <w:rPr>
                          <w:sz w:val="28"/>
                        </w:rPr>
                        <w:t xml:space="preserve"> период 202</w:t>
                      </w:r>
                      <w:r>
                        <w:rPr>
                          <w:sz w:val="28"/>
                        </w:rPr>
                        <w:t xml:space="preserve">6</w:t>
                      </w:r>
                      <w:r>
                        <w:rPr>
                          <w:sz w:val="28"/>
                        </w:rPr>
                        <w:t xml:space="preserve"> и 202</w:t>
                      </w:r>
                      <w:r>
                        <w:rPr>
                          <w:sz w:val="28"/>
                        </w:rPr>
                        <w:t xml:space="preserve"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годов»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5408"/>
        </w:tabs>
        <w:spacing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5408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5408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5408"/>
        </w:tabs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  <w:t xml:space="preserve">В соответствии с решением Новоалтайского городского Собрания депутатов от </w:t>
      </w:r>
      <w:r>
        <w:rPr>
          <w:sz w:val="28"/>
        </w:rPr>
        <w:t xml:space="preserve">1</w:t>
      </w:r>
      <w:r>
        <w:rPr>
          <w:sz w:val="28"/>
        </w:rPr>
        <w:t xml:space="preserve">7</w:t>
      </w:r>
      <w:r>
        <w:rPr>
          <w:sz w:val="28"/>
        </w:rPr>
        <w:t xml:space="preserve">.12.202</w:t>
      </w:r>
      <w:r>
        <w:rPr>
          <w:sz w:val="28"/>
        </w:rPr>
        <w:t xml:space="preserve">4</w:t>
      </w:r>
      <w:r>
        <w:rPr>
          <w:sz w:val="28"/>
        </w:rPr>
        <w:t xml:space="preserve"> № </w:t>
      </w:r>
      <w:r>
        <w:rPr>
          <w:sz w:val="28"/>
        </w:rPr>
        <w:t xml:space="preserve">28</w:t>
      </w:r>
      <w:r>
        <w:rPr>
          <w:sz w:val="28"/>
        </w:rPr>
        <w:t xml:space="preserve"> «О бюджете городского округа города Новоалтайска на 202</w:t>
      </w:r>
      <w:r>
        <w:rPr>
          <w:sz w:val="28"/>
        </w:rPr>
        <w:t xml:space="preserve"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 и 202</w:t>
      </w:r>
      <w:r>
        <w:rPr>
          <w:sz w:val="28"/>
        </w:rPr>
        <w:t xml:space="preserve">7</w:t>
      </w:r>
      <w:r>
        <w:rPr>
          <w:sz w:val="28"/>
        </w:rPr>
        <w:t xml:space="preserve"> годов» </w:t>
        <w:br w:type="textWrapping" w:clear="all"/>
        <w:t xml:space="preserve">п о с т а н о в л я ю:</w:t>
      </w:r>
      <w:r>
        <w:rPr>
          <w:sz w:val="28"/>
        </w:rPr>
      </w:r>
    </w:p>
    <w:p>
      <w:pPr>
        <w:pStyle w:val="680"/>
        <w:numPr>
          <w:ilvl w:val="0"/>
          <w:numId w:val="3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исполнению бюджет городского округа города Новоалтайска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</w:r>
    </w:p>
    <w:p>
      <w:pPr>
        <w:pStyle w:val="680"/>
        <w:numPr>
          <w:ilvl w:val="0"/>
          <w:numId w:val="3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финансирование расходов на оплату труда работников бюджетной сферы,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минимального размера оплаты труда, установленного федеральным</w:t>
      </w:r>
      <w:r>
        <w:rPr>
          <w:sz w:val="28"/>
          <w:szCs w:val="28"/>
        </w:rPr>
        <w:t xml:space="preserve"> законодательством, а также </w:t>
      </w:r>
      <w:r>
        <w:rPr>
          <w:sz w:val="28"/>
          <w:szCs w:val="28"/>
        </w:rPr>
        <w:t xml:space="preserve">безусловно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целевых показателей заработной платы отдельных категорий работников бюджетного сектора экономики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является приоритетным направлением деятельности Администрации города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овоалтайска. </w:t>
      </w:r>
      <w:r>
        <w:rPr>
          <w:sz w:val="28"/>
          <w:szCs w:val="28"/>
        </w:rPr>
      </w:r>
    </w:p>
    <w:p>
      <w:pPr>
        <w:pStyle w:val="680"/>
        <w:numPr>
          <w:ilvl w:val="0"/>
          <w:numId w:val="3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администраторам доходов и источников финансирования дефицита бюджета городского округа:</w:t>
      </w:r>
      <w:r>
        <w:rPr>
          <w:sz w:val="28"/>
          <w:szCs w:val="28"/>
        </w:rPr>
      </w:r>
    </w:p>
    <w:p>
      <w:pPr>
        <w:pStyle w:val="68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исчерпывающие меры по обеспечению поступления администрируемых доходных источников в бюджет городского округа, а также сокращению задолженности по их уплате и осуществлению мероприятий, препятствующих ее возникновению;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реализац</w:t>
      </w:r>
      <w:r>
        <w:rPr>
          <w:sz w:val="28"/>
          <w:szCs w:val="28"/>
        </w:rPr>
        <w:t xml:space="preserve">ию плана мероприятий по оздоровлению муниципальных финансов города Новоалтайска, росту доходного потенциала, оптимизации расходов бюджета городского округа города Новоалтайска и управлению муниципальным долгом на 2025-2030 годы, утвержденного распоряжением</w:t>
      </w:r>
      <w:r>
        <w:rPr>
          <w:sz w:val="28"/>
          <w:szCs w:val="28"/>
        </w:rPr>
        <w:t xml:space="preserve"> Администрации города Новоалтайска от 2</w:t>
      </w:r>
      <w:r>
        <w:rPr>
          <w:sz w:val="28"/>
          <w:szCs w:val="28"/>
        </w:rPr>
        <w:t xml:space="preserve">4.12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9-р;</w:t>
      </w:r>
      <w:r>
        <w:rPr>
          <w:sz w:val="28"/>
          <w:szCs w:val="28"/>
        </w:rPr>
      </w:r>
    </w:p>
    <w:p>
      <w:pPr>
        <w:pStyle w:val="68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ежеквартально, в срок до 15 числа месяца, следующего </w:t>
        <w:br w:type="textWrapping" w:clear="all"/>
        <w:t xml:space="preserve">за отчетным кварталом, 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 по финансам, налоговой и кредитной политике Администрации города Новоалтайска информацию о принятых мерах по исполнению бюджета городского округа в </w:t>
      </w:r>
      <w:r>
        <w:rPr>
          <w:sz w:val="28"/>
          <w:szCs w:val="28"/>
        </w:rPr>
        <w:t xml:space="preserve">части администрируемых доходов </w:t>
      </w:r>
      <w:r>
        <w:rPr>
          <w:sz w:val="28"/>
          <w:szCs w:val="28"/>
        </w:rPr>
        <w:t xml:space="preserve">с указанием фактического исполнения прогноза и причин отклонения поступления доходных источников от прогноза и уровня прошлого года.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Комитету по экономической политике и инвестициям Администрации города </w:t>
      </w:r>
      <w:r>
        <w:rPr>
          <w:sz w:val="28"/>
          <w:szCs w:val="28"/>
        </w:rPr>
        <w:t xml:space="preserve">(Катушонок Е.В.):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меры, направленные на устойчивый рост реальных доходов, легализацию доходов и выпо</w:t>
      </w:r>
      <w:r>
        <w:rPr>
          <w:sz w:val="28"/>
          <w:szCs w:val="28"/>
        </w:rPr>
        <w:t xml:space="preserve">лнение обязательств по обеспечению оплаты труда работников реального сектора экономики не ниже размера,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</w:t>
      </w:r>
      <w:r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 xml:space="preserve">Региональным соглашением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размере минимальной заработной платы в Алтайском крае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в части повыш</w:t>
      </w:r>
      <w:r>
        <w:rPr>
          <w:sz w:val="28"/>
          <w:szCs w:val="28"/>
        </w:rPr>
        <w:t xml:space="preserve">ения уровня заработной платы, используя механизмы социального партнерства, проводить комплексную оценку ситуации в сфере труда и занятости населения, осуществлять реализацию Регионального соглашения о размере минимальной заработной платы в Алтайском крае; 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организационную работу комиссии по снижению задолженности по налогам и сборам, поступающим в бюджет города Новоалтайска.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Главным распорядителям средств бюджета городского округа при разработке</w:t>
      </w:r>
      <w:r>
        <w:rPr>
          <w:sz w:val="28"/>
          <w:szCs w:val="28"/>
        </w:rPr>
        <w:t xml:space="preserve">, актуализации</w:t>
      </w:r>
      <w:r>
        <w:rPr>
          <w:sz w:val="28"/>
          <w:szCs w:val="28"/>
        </w:rPr>
        <w:t xml:space="preserve"> нормативных правовых актов, регулирующих предоставление субсидий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предусматривать в них</w:t>
      </w:r>
      <w:r>
        <w:rPr>
          <w:sz w:val="28"/>
          <w:szCs w:val="28"/>
        </w:rPr>
        <w:t xml:space="preserve">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следующие требования, которым должны соответствовать </w:t>
      </w:r>
      <w:r>
        <w:rPr>
          <w:sz w:val="28"/>
          <w:szCs w:val="28"/>
        </w:rPr>
        <w:t xml:space="preserve">получатели субсидии (</w:t>
      </w:r>
      <w:r>
        <w:rPr>
          <w:sz w:val="28"/>
          <w:szCs w:val="28"/>
        </w:rPr>
        <w:t xml:space="preserve">участники отбора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егистр</w:t>
      </w:r>
      <w:r>
        <w:rPr>
          <w:sz w:val="28"/>
          <w:szCs w:val="28"/>
        </w:rPr>
        <w:t xml:space="preserve">ация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на налоговый учет филиала, представительства, иного обособленного подразделения получателя субси</w:t>
      </w:r>
      <w:r>
        <w:rPr>
          <w:sz w:val="28"/>
          <w:szCs w:val="28"/>
        </w:rPr>
        <w:t xml:space="preserve">дии (участника отбора) </w:t>
      </w:r>
      <w:r>
        <w:rPr>
          <w:sz w:val="28"/>
          <w:szCs w:val="28"/>
        </w:rPr>
        <w:t xml:space="preserve">на территории города Новоалтайска в установленном законодательством порядке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если иное не установлено федеральным законодательством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следующие критерии отбора получателей субсидий, имеющих право на получение субсидий: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факта уплаты получателем субсидии (уча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тником отбора) налогов и иных обязательных платежей (в том числе налога на доходы физических лиц, за исключением случаев, когда применяется налоговый режим, не предусматривающий уплаты налога на доходы физических лиц) в бюджет городского округа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текущего года;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среднесписочной численности работников у юридического лица – получателя субсидии (участника отбора) в текущем году (за исключением грантов в форме субсидий на реализацию проектов, предусматривающих создание рабочих мест);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в расчете на одного работника должна составлять не менее размера минимальной заработной платы, установленного в Региональном соглашении </w:t>
      </w:r>
      <w:r>
        <w:rPr>
          <w:sz w:val="28"/>
          <w:szCs w:val="28"/>
        </w:rPr>
        <w:t xml:space="preserve">о размере минимальной заработной платы </w:t>
      </w:r>
      <w:r>
        <w:rPr>
          <w:sz w:val="28"/>
          <w:szCs w:val="28"/>
        </w:rPr>
        <w:t xml:space="preserve">в Алтайском крае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правовым </w:t>
      </w:r>
      <w:r>
        <w:rPr>
          <w:sz w:val="28"/>
          <w:szCs w:val="28"/>
        </w:rPr>
        <w:t xml:space="preserve">актом,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может быть предусмотрено в качестве критерия отбора нали</w:t>
      </w:r>
      <w:r>
        <w:rPr>
          <w:sz w:val="28"/>
          <w:szCs w:val="28"/>
        </w:rPr>
        <w:t xml:space="preserve">чие в текущем году среднесписочной численности работников у индивидуального предпринимателя, главы крестьянского (фермерского) хозяйства – получателя субсидии (участника отбора) (при необходимости), если иное не предусмотрено федеральным законодательством.</w:t>
      </w:r>
      <w:r>
        <w:rPr>
          <w:sz w:val="28"/>
          <w:szCs w:val="28"/>
        </w:rPr>
      </w:r>
    </w:p>
    <w:p>
      <w:pPr>
        <w:pStyle w:val="70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</w:t>
      </w:r>
      <w:r>
        <w:rPr>
          <w:sz w:val="28"/>
          <w:szCs w:val="28"/>
        </w:rPr>
        <w:t xml:space="preserve"> распорядителям средств бюджета городского округа учитывать при расчете размера субсидии, предоставляемой за счет средств бюджета городского округа, сведения об участниках отбора, допустивших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(не допустивших) за период с 1 января 2020 года снижение размера кадастровой стоимости объектов недвижимости (земельных участков), находящихся в собствен</w:t>
      </w:r>
      <w:r>
        <w:rPr>
          <w:sz w:val="28"/>
          <w:szCs w:val="28"/>
        </w:rPr>
        <w:t xml:space="preserve">ности, а также кадастровой стоимости земельных участков, находящихся в краевой или муниципальной собственности либо государственная собственность на которые не разграничена, принадлежащих на праве аренды. Для участников отбора, допустивших такое снижение,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(за исключением случаев исправления технической ошибки), применяется понижающий коэффициент, устанавливаемый нормативным правовым актом, регулирующим предоставление субсидии.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Органам Администрации города и муниципальным учреждениям обеспечить целевое использование выделяемых средств, эффективное использование имущества муниципальной собственности, </w:t>
      </w:r>
      <w:r>
        <w:rPr>
          <w:sz w:val="28"/>
          <w:szCs w:val="28"/>
        </w:rPr>
        <w:t xml:space="preserve">а также имущества, приобретаемого для осуществления уставной деятельности, </w:t>
      </w:r>
      <w:r>
        <w:rPr>
          <w:sz w:val="28"/>
          <w:szCs w:val="28"/>
        </w:rPr>
        <w:t xml:space="preserve">снижени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объема потребляемых </w:t>
      </w:r>
      <w:r>
        <w:rPr>
          <w:sz w:val="28"/>
          <w:szCs w:val="28"/>
        </w:rPr>
        <w:t xml:space="preserve">ими</w:t>
      </w:r>
      <w:r>
        <w:rPr>
          <w:sz w:val="28"/>
          <w:szCs w:val="28"/>
        </w:rPr>
        <w:t xml:space="preserve"> дизельного и иного топлива, мазута, природного газа, тепловой энергии, электрической энергии, угля, а также объема потребляемой воды в соответствии с постановлением Правительства Российской Федерации от 07.10.2019 № 1289 «О требованиях</w:t>
      </w:r>
      <w:r>
        <w:rPr>
          <w:sz w:val="28"/>
          <w:szCs w:val="28"/>
        </w:rPr>
        <w:t xml:space="preserve">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Главным распорядителям средств бюджета городского округа: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приоритетном порядке финансирование расходов на повышение заработной платы работников бюджетной сферы, </w:t>
      </w:r>
      <w:r>
        <w:rPr>
          <w:sz w:val="28"/>
          <w:szCs w:val="28"/>
        </w:rPr>
        <w:t xml:space="preserve">в том числе с учетом повышения уровня минимального размера оплаты труда, установленного федеральным законодательством, </w:t>
      </w:r>
      <w:r>
        <w:rPr>
          <w:sz w:val="28"/>
          <w:szCs w:val="28"/>
        </w:rPr>
        <w:t xml:space="preserve">а также безусловное достижение целевых показателей заработной платы отдельных категорий работников бюджетного сектора экономики с учетом повышения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беспечить своевременное и в полном объеме исполнение расходных обязательств, недопущение принятия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обеспеченных </w:t>
      </w:r>
      <w:r>
        <w:rPr>
          <w:sz w:val="28"/>
          <w:szCs w:val="28"/>
        </w:rPr>
        <w:t xml:space="preserve">финансовыми источниками </w:t>
      </w:r>
      <w:r>
        <w:rPr>
          <w:sz w:val="28"/>
          <w:szCs w:val="28"/>
        </w:rPr>
        <w:t xml:space="preserve">расходных обязательств, исключить образование задолженности по платежам в бюджет и просроченной дебиторской и кредиторской задолженности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отсутствие по состоянию на первое число каждого месяца просроченной кредиторской задолженности подведомственных учреждений, источником финансового обеспечения деятельности</w:t>
      </w:r>
      <w:r>
        <w:rPr>
          <w:sz w:val="28"/>
          <w:szCs w:val="28"/>
        </w:rPr>
        <w:t xml:space="preserve"> которых являются средства бюджета городского округа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постоянный контроль состояния дебиторской и кредиторской задолженности подведомственных учреждений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контроль за эффективностью деятельности подведомственной бюджетной сети;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соответствие показател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паспортов муниципальных программ сводной бюджетной росписи, в том числе с учетом внесения изменений в течение финансового года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исключению рисков недостижения показателей и невыполнения мероприятий (результатов), установленных паспортами региональных проектов, муниципальных программ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Установить, что средства, поступающие на лицевые счета учреждений в погашение дебиторской задолженности прошлых лет, в том числе источником финансового обеспечения которой являлись целевые средства федерального и краево</w:t>
      </w:r>
      <w:r>
        <w:rPr>
          <w:sz w:val="28"/>
          <w:szCs w:val="28"/>
        </w:rPr>
        <w:t xml:space="preserve">го бюджетов, подлежат перечислению в доход бюджета городского округа на лицевые счета главных распорядителей средств бюджета городского округа не позднее пяти рабочих дней со дня отражения соответствующих сумм на лицевых счетах подведомственных учреждений.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олучатели средств бюджета городского округа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основании муниципальных контрактов на поставку товаров, выполнение работ, оказание услуг (за исключением муниципальных контрактов, заключаемых (заключенных) в соответствии с решением Администрации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осуществления закупок товаров, работ, услуг), предусматривающих сроки оплаты поставленных товаров, выполненных работ, оказанных услуг или выплаты аванса, в том числе по отдельным этапам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исполнения, превышающие один месяц после указанной даты.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Установить, что получатели средств бюджета городского округа принимают до 30 сентября </w:t>
      </w:r>
      <w:r>
        <w:rPr>
          <w:sz w:val="28"/>
          <w:szCs w:val="28"/>
        </w:rPr>
        <w:t xml:space="preserve">текущего финансового</w:t>
      </w:r>
      <w:r>
        <w:rPr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</w:t>
      </w:r>
      <w:r>
        <w:rPr>
          <w:sz w:val="28"/>
          <w:szCs w:val="28"/>
        </w:rPr>
        <w:t xml:space="preserve">текущем финансовом</w:t>
      </w:r>
      <w:r>
        <w:rPr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</w:t>
      </w:r>
      <w:r>
        <w:rPr>
          <w:sz w:val="28"/>
          <w:szCs w:val="28"/>
        </w:rPr>
        <w:t xml:space="preserve">текущего финансового </w:t>
      </w:r>
      <w:r>
        <w:rPr>
          <w:sz w:val="28"/>
          <w:szCs w:val="28"/>
        </w:rPr>
        <w:t xml:space="preserve">года.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абзаца первого настоящего пункта, не распространяются на принятие получателями средств бюджета городского округа бюджетных обязательств, связанных с поставкой товаров, выполнением работ и оказанием услуг: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планируется осу</w:t>
      </w:r>
      <w:r>
        <w:rPr>
          <w:sz w:val="28"/>
          <w:szCs w:val="28"/>
        </w:rPr>
        <w:t xml:space="preserve">ществить в соответствии с пунктами 1, 4, 5, 8, 9, 15, 20, 21, 23, 26, 29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которым извещения об осуществлении планируемых закупок </w:t>
        <w:br w:type="textWrapping" w:clear="all"/>
        <w:t xml:space="preserve">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текущего финансового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контрактам на приобретение жилых помещений в муниципальную собственность в целях переселения граждан из домов, признанных аварийными;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решениям Администрации города Новоалтайска, устанавливающим возможность принятия указанных обязательств после 30 сентября текущего финансового года.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Получателям средств бюджета городского округа, в рамках реализации соглашений </w:t>
      </w:r>
      <w:r>
        <w:rPr>
          <w:sz w:val="28"/>
          <w:szCs w:val="28"/>
        </w:rPr>
        <w:t xml:space="preserve">с главными распорядителями средств краевого бюджета о предоставлении межбюджетных трансфертов, имеющих целевое назначение, из краевого бюджета, источником средств по которым являются средства краевого бюджета, обеспечить заключение муниципальных контрактов</w:t>
      </w:r>
      <w:r>
        <w:rPr>
          <w:sz w:val="28"/>
          <w:szCs w:val="28"/>
        </w:rPr>
        <w:t xml:space="preserve"> (контрактов)</w:t>
      </w:r>
      <w:r>
        <w:rPr>
          <w:sz w:val="28"/>
          <w:szCs w:val="28"/>
        </w:rPr>
        <w:t xml:space="preserve"> на поставку товаров, выполнение работ, оказание услуг до 30 сентября текущего финансового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 средств бюджета городского округа, в рамках реализации соглашений с главными распорядителями средств краевого бюджета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предоставлении межбюджетных трансфертов</w:t>
      </w:r>
      <w:r>
        <w:rPr>
          <w:sz w:val="28"/>
          <w:szCs w:val="28"/>
        </w:rPr>
        <w:t xml:space="preserve">, имеющих целевое назначение, из краевого бюджета, источником средств по которым являются средства федерального бюджета</w:t>
      </w:r>
      <w:r>
        <w:rPr>
          <w:sz w:val="28"/>
          <w:szCs w:val="28"/>
        </w:rPr>
        <w:t xml:space="preserve">, обеспечить заключение </w:t>
      </w:r>
      <w:r>
        <w:rPr>
          <w:sz w:val="28"/>
          <w:szCs w:val="28"/>
        </w:rPr>
        <w:t xml:space="preserve">муниципальных контрактов</w:t>
      </w:r>
      <w:r>
        <w:rPr>
          <w:sz w:val="28"/>
          <w:szCs w:val="28"/>
        </w:rPr>
        <w:t xml:space="preserve"> (контрактов)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поставку товаров, выполнение работ, оказание услуг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(за исключением субсидий, предоставляемых в целях софинансирования расходных обязательств, связанных с осуществлением капитальных вложений)</w:t>
      </w:r>
      <w:r>
        <w:rPr>
          <w:sz w:val="28"/>
          <w:szCs w:val="28"/>
        </w:rPr>
        <w:t xml:space="preserve"> (дополнительных соглашений)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 июля текущего финансового года по соглашениям заключенным до 1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(в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соглашениями, заключенными до 1 августа текущего финансового года -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1 октября текущего финансового года).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Установить, что при заключении муниципальных контрактов (контрактов) на поставку товаров, выполнение работ и оказание услуг предусматривают условие о завершении расчетов по заключенным контрактам, исполнение которых предусмотрено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за счет расходов: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финансового обеспечения которых являются межбюджетные трансферты, предоставленные в пределах сумм, необходимых для оплаты денежных обязательств по расходам получателей средств бюджетов,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декабря текущего финансового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иное не установлено федеральным законодательством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 являются средства отличные от средств, указанных в абзаце втором настоящего пункта,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декабря текущего года.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Получател</w:t>
      </w:r>
      <w:r>
        <w:rPr>
          <w:sz w:val="28"/>
          <w:szCs w:val="28"/>
        </w:rPr>
        <w:t xml:space="preserve">ям средств бюджета городского округа 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</w:t>
      </w:r>
      <w:r>
        <w:rPr>
          <w:sz w:val="28"/>
          <w:szCs w:val="28"/>
        </w:rPr>
        <w:t xml:space="preserve">етных средств в бюджеты бюджетной системы Российской Федерации </w:t>
        <w:br/>
        <w:t xml:space="preserve">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возмещении указанных убытков в случае неисполнения или ненадлежащего исполнения обязательств поставщиком (подрядчиком, исполнителем) </w:t>
        <w:br w:type="textWrapping" w:clear="all"/>
        <w:t xml:space="preserve">по контракту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Комитету Администрации города Новоалтайска по жилищно-коммунальному, газовому хозяйству, энергетике, транспорту и строительству (</w:t>
      </w:r>
      <w:r>
        <w:rPr>
          <w:sz w:val="28"/>
          <w:szCs w:val="28"/>
        </w:rPr>
        <w:t xml:space="preserve">Удовиченко Т.И.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отбор проектов благоустройства, социальной, коммунальной и дорожной инфраструктуры, планируемых к реализации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соответствующем году, с учетом мнения граждан;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окончанию выполнения работ по капитальному ремонту и ремонту автомобильных дорог общего пользования местного значения </w:t>
        <w:br w:type="textWrapping" w:clear="all"/>
        <w:t xml:space="preserve">с участием средств краевого бюджета не позднее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тября</w:t>
      </w:r>
      <w:r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, искусственных дорожных сооружений – не позднее 1 ноября текущего финансового года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эффективному использованию средств муниципального дорожного фонда.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Комитету по управлению имуществом Администрации города (Ракитина Л.И.):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увеличению объема поступлений неналоговых доходов бюджета городского округа, осуществлению мероприятий, препятствующих возникновению задолженности </w:t>
      </w:r>
      <w:r>
        <w:rPr>
          <w:sz w:val="28"/>
          <w:szCs w:val="28"/>
        </w:rPr>
        <w:t xml:space="preserve">(отрицательного сальдо) </w:t>
      </w:r>
      <w:r>
        <w:rPr>
          <w:sz w:val="28"/>
          <w:szCs w:val="28"/>
        </w:rPr>
        <w:t xml:space="preserve">по ним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вести претензионно-исковую работу по взысканию задолженности по арендным платежам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передачу в аренду земельных участков в соответствии </w:t>
        <w:br w:type="textWrapping" w:clear="all"/>
        <w:t xml:space="preserve">с порядком, установленным действующим законодательством, через проведение аукционов по продаже права аренды на земельные участки</w:t>
      </w:r>
      <w:r>
        <w:rPr>
          <w:sz w:val="28"/>
          <w:szCs w:val="28"/>
        </w:rPr>
        <w:t xml:space="preserve">, если иное не установлено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в сфере земельных отношений по вовлечению </w:t>
        <w:br w:type="textWrapping" w:clear="all"/>
        <w:t xml:space="preserve">в налоговый оборот земельных участков, в том числе выявлению в результате муниципального земельного контроля земель, используемых не по целевому назначению и неиспользуемых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контроль за соблюдением концессионером условий концессионного соглашения с учетом заблаговременного выявления возможных рисков и своевременного принятия мер по их предотвращению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Отделу архитектуры и градостроительства Администрации города Новоалтайска (Толстых О.В.) завершить мероприятия по описанию границ муниципального образования, территориальных зон</w:t>
      </w:r>
      <w:r>
        <w:rPr>
          <w:sz w:val="28"/>
          <w:szCs w:val="28"/>
        </w:rPr>
        <w:t xml:space="preserve">, а также мероприятия </w:t>
        <w:br w:type="textWrapping" w:clear="all"/>
        <w:t xml:space="preserve">по исправлению пересечений границ муниципальных образований с границами населенных пунктов, территориальных зон и земельных участков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Органам Администрации города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главным распорядителям средств бюджета городского округа,</w:t>
      </w:r>
      <w:r>
        <w:rPr>
          <w:sz w:val="28"/>
          <w:szCs w:val="28"/>
        </w:rPr>
        <w:t xml:space="preserve"> получателям средств бюджета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пределах своих полномочий: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продолжить работу в части повышения уровня заработной платы, осуществлять контроль за соблюдением Регионального соглашения </w:t>
        <w:br w:type="textWrapping" w:clear="all"/>
        <w:t xml:space="preserve">о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минимальной заработной плат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Алтайском крае;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осуществлять реализацию полномочий по решению вопросов местного значения с учетом необходимости выполнения обязательств, предусмотренных соглашением о мерах по социально-экономическому развитию и оздоровлению муниципальных финансов; 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своевременны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полном объеме за потребленные коммунальные услуги и топливно-энергетические ресурсы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возмещения вреда, причиненного другим лицом, </w:t>
        <w:br w:type="textWrapping" w:clear="all"/>
        <w:t xml:space="preserve">предъявлять к этому лицу регрессные требования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осуществлять планирование бюджетных ассигнований на реализацию региональных проектов, муниципальных программ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соглашением о предоставлении межбюджетных трансфертов из краевого бюджета и паспортами соответствующих проектов и программ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случае возникновения необходимости внесения изменений в бюджетную роспись по региональным проектам в части средств бюджета городского округа предварительно согласовывать указанные изменения с главным распорядителем бюджетных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Признать утратившим силу постановление Администрации города </w:t>
        <w:br w:type="textWrapping" w:clear="all"/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мерах по реализации решения Новоалтайского городского Собрания депутатов «О бюджете городского округа города Новоалтайска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 момента опубликования </w:t>
        <w:br w:type="textWrapping" w:clear="all"/>
        <w:t xml:space="preserve">и </w:t>
      </w:r>
      <w:r>
        <w:rPr>
          <w:sz w:val="28"/>
          <w:szCs w:val="28"/>
        </w:rPr>
        <w:t xml:space="preserve">распространяет свое действие на правоотношения, возникшие с 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в сети Интернет.</w:t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tabs>
          <w:tab w:val="left" w:leader="none" w:pos="0"/>
        </w:tabs>
        <w:spacing/>
        <w:ind w:right="-1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   </w:t>
        <w:tab/>
        <w:tab/>
        <w:tab/>
        <w:tab/>
        <w:tab/>
        <w:tab/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В.Г. Бодунов</w:t>
      </w:r>
      <w:r>
        <w:rPr>
          <w:sz w:val="28"/>
        </w:rPr>
        <w:tab/>
        <w:tab/>
        <w:t xml:space="preserve">                      </w:t>
      </w:r>
      <w:r>
        <w:rPr>
          <w:sz w:val="28"/>
        </w:rPr>
      </w:r>
    </w:p>
    <w:p>
      <w:pPr>
        <w:pStyle w:val="680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framePr w:hAnchor="margin" w:vAnchor="text" w:wrap="around" w:xAlign="right" w:y="1"/>
      <w:pBdr/>
      <w:spacing/>
      <w:ind/>
      <w:rPr>
        <w:rStyle w:val="695"/>
      </w:rPr>
    </w:pPr>
    <w:r>
      <w:rPr>
        <w:rStyle w:val="695"/>
      </w:rPr>
      <w:fldChar w:fldCharType="begin"/>
    </w:r>
    <w:r>
      <w:rPr>
        <w:rStyle w:val="695"/>
      </w:rPr>
      <w:instrText xml:space="preserve">PAGE  </w:instrText>
    </w:r>
    <w:r>
      <w:rPr>
        <w:rStyle w:val="695"/>
      </w:rPr>
      <w:fldChar w:fldCharType="separate"/>
    </w:r>
    <w:r>
      <w:rPr>
        <w:rStyle w:val="695"/>
      </w:rPr>
      <w:t xml:space="preserve">24</w:t>
    </w:r>
    <w:r>
      <w:rPr>
        <w:rStyle w:val="695"/>
      </w:rPr>
      <w:fldChar w:fldCharType="end"/>
    </w:r>
    <w:r>
      <w:rPr>
        <w:rStyle w:val="695"/>
      </w:rPr>
    </w:r>
    <w:r>
      <w:rPr>
        <w:rStyle w:val="695"/>
      </w:rPr>
    </w:r>
  </w:p>
  <w:p>
    <w:pPr>
      <w:pStyle w:val="693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0"/>
    <w:next w:val="68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0"/>
    <w:next w:val="68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0"/>
    <w:next w:val="68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0"/>
    <w:next w:val="68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0"/>
    <w:next w:val="68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0"/>
    <w:next w:val="68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0"/>
    <w:next w:val="68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0"/>
    <w:next w:val="68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0"/>
    <w:next w:val="68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0"/>
    <w:next w:val="68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0"/>
    <w:next w:val="68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0"/>
    <w:next w:val="68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0"/>
    <w:next w:val="68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0"/>
    <w:next w:val="6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0"/>
    <w:next w:val="680"/>
    <w:uiPriority w:val="99"/>
    <w:unhideWhenUsed/>
    <w:pPr>
      <w:pBdr/>
      <w:spacing w:after="0" w:afterAutospacing="0"/>
      <w:ind/>
    </w:pPr>
  </w:style>
  <w:style w:type="paragraph" w:styleId="680" w:default="1">
    <w:name w:val="Normal"/>
    <w:next w:val="680"/>
    <w:link w:val="680"/>
    <w:qFormat/>
    <w:pPr>
      <w:pBdr/>
      <w:spacing/>
      <w:ind/>
    </w:pPr>
    <w:rPr>
      <w:lang w:val="ru-RU" w:eastAsia="ru-RU" w:bidi="ar-SA"/>
    </w:rPr>
  </w:style>
  <w:style w:type="paragraph" w:styleId="681">
    <w:name w:val="Заголовок 1"/>
    <w:basedOn w:val="680"/>
    <w:next w:val="680"/>
    <w:link w:val="680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2">
    <w:name w:val="Заголовок 2"/>
    <w:basedOn w:val="680"/>
    <w:next w:val="680"/>
    <w:link w:val="680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3">
    <w:name w:val="Заголовок 3"/>
    <w:basedOn w:val="680"/>
    <w:next w:val="680"/>
    <w:link w:val="680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4">
    <w:name w:val="Заголовок 4"/>
    <w:basedOn w:val="680"/>
    <w:next w:val="680"/>
    <w:link w:val="680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5">
    <w:name w:val="Заголовок 5"/>
    <w:basedOn w:val="680"/>
    <w:next w:val="680"/>
    <w:link w:val="680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6">
    <w:name w:val="Заголовок 6"/>
    <w:basedOn w:val="680"/>
    <w:next w:val="680"/>
    <w:link w:val="680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7">
    <w:name w:val="Заголовок 7"/>
    <w:basedOn w:val="680"/>
    <w:next w:val="680"/>
    <w:link w:val="680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8">
    <w:name w:val="Заголовок 8"/>
    <w:basedOn w:val="680"/>
    <w:next w:val="680"/>
    <w:link w:val="680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9">
    <w:name w:val="Заголовок 9"/>
    <w:basedOn w:val="680"/>
    <w:next w:val="680"/>
    <w:link w:val="680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0">
    <w:name w:val="Основной шрифт абзаца"/>
    <w:next w:val="690"/>
    <w:link w:val="680"/>
    <w:semiHidden/>
    <w:pPr>
      <w:pBdr/>
      <w:spacing/>
      <w:ind/>
    </w:pPr>
  </w:style>
  <w:style w:type="table" w:styleId="691">
    <w:name w:val="Обычная таблица"/>
    <w:next w:val="691"/>
    <w:link w:val="6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2">
    <w:name w:val="Нет списка"/>
    <w:next w:val="692"/>
    <w:link w:val="680"/>
    <w:semiHidden/>
    <w:pPr>
      <w:pBdr/>
      <w:spacing/>
      <w:ind/>
    </w:pPr>
  </w:style>
  <w:style w:type="paragraph" w:styleId="693">
    <w:name w:val="Верхний колонтитул"/>
    <w:basedOn w:val="680"/>
    <w:next w:val="693"/>
    <w:link w:val="680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4">
    <w:name w:val="Нижний колонтитул"/>
    <w:basedOn w:val="680"/>
    <w:next w:val="694"/>
    <w:link w:val="68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5">
    <w:name w:val="Номер страницы"/>
    <w:basedOn w:val="690"/>
    <w:next w:val="695"/>
    <w:link w:val="680"/>
    <w:pPr>
      <w:pBdr/>
      <w:spacing/>
      <w:ind/>
    </w:pPr>
  </w:style>
  <w:style w:type="paragraph" w:styleId="696">
    <w:name w:val="Основной текст с отступом"/>
    <w:basedOn w:val="680"/>
    <w:next w:val="696"/>
    <w:link w:val="680"/>
    <w:pPr>
      <w:pBdr/>
      <w:spacing w:line="360" w:lineRule="auto"/>
      <w:ind w:firstLine="720"/>
      <w:jc w:val="both"/>
    </w:pPr>
    <w:rPr>
      <w:sz w:val="28"/>
    </w:rPr>
  </w:style>
  <w:style w:type="paragraph" w:styleId="697">
    <w:name w:val="Основной текст"/>
    <w:basedOn w:val="680"/>
    <w:next w:val="697"/>
    <w:link w:val="680"/>
    <w:pPr>
      <w:pBdr/>
      <w:spacing w:line="240" w:lineRule="exact"/>
      <w:ind/>
      <w:jc w:val="both"/>
    </w:pPr>
    <w:rPr>
      <w:sz w:val="28"/>
    </w:rPr>
  </w:style>
  <w:style w:type="paragraph" w:styleId="698">
    <w:name w:val="Основной текст 2"/>
    <w:basedOn w:val="680"/>
    <w:next w:val="698"/>
    <w:link w:val="680"/>
    <w:pPr>
      <w:pBdr/>
      <w:spacing w:line="240" w:lineRule="exact"/>
      <w:ind/>
    </w:pPr>
    <w:rPr>
      <w:sz w:val="28"/>
      <w:lang w:val="en-US"/>
    </w:rPr>
  </w:style>
  <w:style w:type="paragraph" w:styleId="699">
    <w:name w:val="Название объекта"/>
    <w:basedOn w:val="680"/>
    <w:next w:val="680"/>
    <w:link w:val="680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0">
    <w:name w:val="Схема документа"/>
    <w:basedOn w:val="680"/>
    <w:next w:val="700"/>
    <w:link w:val="680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1">
    <w:name w:val="Текст выноски"/>
    <w:basedOn w:val="680"/>
    <w:next w:val="701"/>
    <w:link w:val="680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2">
    <w:name w:val="ConsPlusNormal"/>
    <w:next w:val="702"/>
    <w:link w:val="680"/>
    <w:pPr>
      <w:widowControl w:val="false"/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74</cp:revision>
  <dcterms:created xsi:type="dcterms:W3CDTF">2021-02-25T05:55:00Z</dcterms:created>
  <dcterms:modified xsi:type="dcterms:W3CDTF">2025-01-23T04:05:04Z</dcterms:modified>
  <cp:version>917504</cp:version>
</cp:coreProperties>
</file>