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3"/>
        <w:pBdr/>
        <w:tabs>
          <w:tab w:val="clear" w:leader="none" w:pos="4153"/>
          <w:tab w:val="clear" w:leader="none" w:pos="8306"/>
        </w:tabs>
        <w:spacing/>
        <w:ind/>
        <w:jc w:val="center"/>
        <w:rPr/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09600"/>
                <wp:effectExtent l="0" t="0" r="0" b="0"/>
                <wp:docPr id="1" name="Рисунок 1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20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/>
    </w:p>
    <w:p>
      <w:pPr>
        <w:pStyle w:val="953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26"/>
              <w:pBdr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/>
          </w:p>
          <w:p>
            <w:pPr>
              <w:pBdr/>
              <w:spacing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  <w:p>
            <w:pPr>
              <w:pStyle w:val="721"/>
              <w:pBdr/>
              <w:spacing w:line="48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</w:tc>
      </w:tr>
      <w:tr>
        <w:trPr>
          <w:trHeight w:val="7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31.03.2025                                                                                                         № 654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г. Новоалтайск</w:t>
            </w:r>
            <w:r/>
          </w:p>
        </w:tc>
      </w:tr>
    </w:tbl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/>
      </w:pPr>
      <w:r/>
      <w:r/>
    </w:p>
    <w:tbl>
      <w:tblPr>
        <w:tblStyle w:val="79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056"/>
      </w:tblGrid>
      <w:tr>
        <w:trPr>
          <w:trHeight w:val="958"/>
        </w:trPr>
        <w:tc>
          <w:tcPr>
            <w:tcBorders/>
            <w:tcW w:w="505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 xml:space="preserve">Администрации города Новоалтайска </w:t>
            </w:r>
            <w:r>
              <w:rPr>
                <w:sz w:val="28"/>
                <w:szCs w:val="28"/>
              </w:rPr>
              <w:t xml:space="preserve">Алтайского края </w:t>
            </w:r>
            <w:r>
              <w:rPr>
                <w:sz w:val="28"/>
                <w:szCs w:val="28"/>
              </w:rPr>
              <w:t xml:space="preserve">от 23.09.2019 № 1607 </w:t>
            </w:r>
            <w:r/>
          </w:p>
        </w:tc>
      </w:tr>
    </w:tbl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contextualSpacing w:val="tru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решениями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Новоалтайского городского Собрания депутатов «О внесении изменений в решение Новоалтайского городского Собрания депутатов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от 17.12.2024 № 29 «О внесении изменений в решение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Новоалтайского городского Собрания депутатов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от 19.12.2023 № 39 «О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бюджете городского округа города Новоалтайска на 2024 год и на плановый период 2025 и 2026 годов», от 17.12.2024 № 28 «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О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бюджете городского округа города Новоалтайска на 2025 год и на плановый период 2026 и 2027 годов»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, от 18.02.2025 № 1 «О решении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Новоалтайского городского Собрания депутатов «О внесении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изменений в решение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Новоалтайского городского </w:t>
        <w:br/>
        <w:t xml:space="preserve">Собрания депутатов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от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17.12.2024 № 28 «О бюджете городского округа </w:t>
        <w:br/>
        <w:t xml:space="preserve">города Новоалтайска на 2025 год и на плановый период 2026 и 2027 годов»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 w:right="0" w:firstLine="709"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</w:rPr>
        <w:t xml:space="preserve">1. Внести в постановление Администрации города Новоалтайска Алтайского края от 23.09.2019 </w:t>
      </w:r>
      <w:r>
        <w:rPr>
          <w:sz w:val="28"/>
          <w:szCs w:val="28"/>
        </w:rPr>
        <w:t xml:space="preserve">№ 1607 «Об утверждении ведомственной целевой 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«Переселение граждан из аварийного жилищного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в городе Новоалтайске </w:t>
      </w:r>
      <w:r>
        <w:rPr>
          <w:sz w:val="28"/>
          <w:szCs w:val="28"/>
        </w:rPr>
        <w:t xml:space="preserve">на 2020-2029 годы» следующее изменение: </w:t>
      </w:r>
      <w:r>
        <w:rPr>
          <w:sz w:val="28"/>
          <w:szCs w:val="28"/>
        </w:rPr>
        <w:t xml:space="preserve">приложение к указанному постановлению изложить в новой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0" w:firstLine="709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 xml:space="preserve">Вестнике городского округа город Новоалтайск Алтайского края</w:t>
      </w:r>
      <w:r>
        <w:rPr>
          <w:sz w:val="28"/>
          <w:szCs w:val="28"/>
        </w:rPr>
        <w:t xml:space="preserve"> и разместить на официальном сайте города Новоалтайска в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0" w:firstLine="709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</w:t>
        <w:br/>
        <w:t xml:space="preserve">на заместит</w:t>
      </w:r>
      <w:r>
        <w:rPr>
          <w:sz w:val="28"/>
          <w:szCs w:val="28"/>
        </w:rPr>
        <w:t xml:space="preserve">еля г</w:t>
      </w:r>
      <w:r>
        <w:rPr>
          <w:sz w:val="28"/>
          <w:szCs w:val="28"/>
        </w:rPr>
        <w:t xml:space="preserve">лавы Адми</w:t>
      </w:r>
      <w:r>
        <w:rPr>
          <w:sz w:val="28"/>
          <w:szCs w:val="28"/>
        </w:rPr>
        <w:t xml:space="preserve">нистрации города Бондарева В.П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pBdr/>
        <w:spacing/>
        <w:ind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34"/>
        <w:pBdr/>
        <w:spacing/>
        <w:ind/>
        <w:jc w:val="right"/>
        <w:rPr>
          <w:rFonts w:ascii="Times New Roman" w:hAnsi="Times New Roman"/>
          <w:b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</w:t>
      </w:r>
      <w:r>
        <w:rPr>
          <w:rFonts w:ascii="Times New Roman" w:hAnsi="Times New Roman"/>
          <w:b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sz w:val="28"/>
          <w:szCs w:val="28"/>
          <w:highlight w:val="none"/>
        </w:rPr>
      </w:r>
    </w:p>
    <w:p>
      <w:pPr>
        <w:pStyle w:val="934"/>
        <w:pBdr/>
        <w:spacing/>
        <w:ind/>
        <w:jc w:val="right"/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  <w:highlight w:val="none"/>
        </w:rPr>
        <w:t xml:space="preserve">Новоалтайска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Алтайского края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</w:r>
    </w:p>
    <w:p>
      <w:pPr>
        <w:pStyle w:val="934"/>
        <w:pBdr/>
        <w:spacing/>
        <w:ind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31.03.2025 г. № 654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widowControl w:val="false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pBdr/>
        <w:spacing/>
        <w:ind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34"/>
        <w:pBdr/>
        <w:spacing/>
        <w:ind/>
        <w:jc w:val="right"/>
        <w:rPr>
          <w:rFonts w:ascii="Times New Roman" w:hAnsi="Times New Roman"/>
          <w:b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</w:t>
      </w:r>
      <w:r>
        <w:rPr>
          <w:rFonts w:ascii="Times New Roman" w:hAnsi="Times New Roman"/>
          <w:b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sz w:val="28"/>
          <w:szCs w:val="28"/>
          <w:highlight w:val="none"/>
        </w:rPr>
      </w:r>
    </w:p>
    <w:p>
      <w:pPr>
        <w:pStyle w:val="934"/>
        <w:pBdr/>
        <w:spacing/>
        <w:ind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sz w:val="28"/>
          <w:szCs w:val="28"/>
          <w:highlight w:val="none"/>
        </w:rPr>
        <w:t xml:space="preserve">Новоалтайска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Алтайского края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34"/>
        <w:pBdr/>
        <w:spacing/>
        <w:ind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23.09.2019 № 1607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целевая программа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«Переселение граждан из аварийного жилищного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фонда</w:t>
      </w:r>
      <w:r>
        <w:rPr>
          <w:b/>
          <w:sz w:val="28"/>
          <w:szCs w:val="28"/>
        </w:rPr>
        <w:br/>
        <w:t xml:space="preserve">в городе Новоалтайске на 2020-2029 годы»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/>
      <w:bookmarkStart w:id="0" w:name="Par42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14"/>
        </w:num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ведомственной целевой программы</w:t>
      </w:r>
      <w:r>
        <w:rPr>
          <w:b/>
          <w:color w:val="000000"/>
          <w:sz w:val="28"/>
          <w:szCs w:val="28"/>
        </w:rPr>
        <w:t xml:space="preserve"> города Новоалтайска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«Переселение граждан из аварийного жилищного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фонда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Новоалтайске на 2020-2029 годы»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Программа)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 w:firstLine="540"/>
        <w:jc w:val="both"/>
        <w:rPr/>
      </w:pPr>
      <w:r/>
      <w:r/>
    </w:p>
    <w:tbl>
      <w:tblPr>
        <w:tblW w:w="9540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>
        <w:trPr/>
        <w:tc>
          <w:tcPr>
            <w:tcBorders/>
            <w:tcW w:w="4500" w:type="dxa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040" w:type="dxa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Новоалтайска по жилищно-коммунальному, газовому хозяйству, энергетике, транспорту и строительству (далее – Комитет ЖКГХЭТС).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0" w:type="dxa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 задачи Программы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04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создание безопасных и благоприятных условий проживания граждан путем устойчивого сокращения непригодного для проживания жилищного фонда.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 xml:space="preserve">выплата лицам, в чьей собственности находятся жилые помещения, входящие в аварий</w:t>
            </w:r>
            <w:r>
              <w:rPr>
                <w:sz w:val="24"/>
                <w:szCs w:val="24"/>
              </w:rPr>
              <w:t xml:space="preserve">ный жилищный фонд, возмещения за изымаемое жилое помещение,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0" w:type="dxa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040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pBdr/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переселенных из аварийного жилья граждан.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pBdr/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расселенного аварийного жилищного фонда.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2"/>
        </w:trPr>
        <w:tc>
          <w:tcPr>
            <w:tcBorders/>
            <w:tcW w:w="4500" w:type="dxa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Сроки реализации мероприятий Программы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504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2020-2029 годы двухлетними этапами.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8"/>
        </w:trPr>
        <w:tc>
          <w:tcPr>
            <w:tcBorders/>
            <w:tcW w:w="4500" w:type="dxa"/>
            <w:vMerge w:val="restart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Объемы и источники финансирования по годам и уровням бюджетной системы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5040" w:type="dxa"/>
            <w:vMerge w:val="restart"/>
            <w:textDirection w:val="lrTb"/>
            <w:noWrap w:val="false"/>
          </w:tcPr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Общий объем средств, направляемых на реализацию Программы, составляет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513098014,7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0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руб., из них: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- средства Фонда содействия реформированию жилищно-коммуналь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ного хозяйства (далее – «Фонд») – 56450050,16  руб., в том числе: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2020-2021 годов – 54836750,16 руб.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2021-2022 годов – 1613300,0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2022-2023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2023-2024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2024-2025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2025-2026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2026-2027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2027-2028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2028-2029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кв.м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105600,00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рублей, утвержденного приказом Министерства строительства и жилищно-коммунального хозяйства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РФ от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25.12.2024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 xml:space="preserve">№ 911/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пр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).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-средства краевого бюджета – 39020947,76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руб., в том числе: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2020-2021 годов – 682800,95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2021-2022 годов – 1000,00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2022-2023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2023-2024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2024-2025 годов – 38337146,81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2025-2026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2026-2027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2027-2028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2028-2029 годов – 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hd w:val="clear" w:color="ffffff" w:fill="ffffff" w:themeFill="background1"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кв.м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105600,00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рублей, утвержденного приказом Министерства строительства и жилищно-коммунального хозяйства РФ от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от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25.12.2024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 xml:space="preserve">№ 911/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пр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).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hd w:val="clear" w:color="ffffff" w:fill="ffffff" w:themeFill="background1"/>
              <w:spacing/>
              <w:ind w:firstLine="0"/>
              <w:jc w:val="both"/>
              <w:outlineLvl w:val="1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 </w:t>
            </w:r>
            <w:r>
              <w:rPr>
                <w:sz w:val="24"/>
                <w:szCs w:val="28"/>
                <w:highlight w:val="white"/>
              </w:rPr>
              <w:t xml:space="preserve">средства бюджета городского округа - 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417627016,78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8"/>
                <w:highlight w:val="white"/>
              </w:rPr>
              <w:t xml:space="preserve">руб., в том числе: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  <w:p>
            <w:pPr>
              <w:widowControl w:val="false"/>
              <w:pBdr/>
              <w:shd w:val="clear" w:color="ffffff" w:fill="ffffff" w:themeFill="background1"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2020-2021 годов – 17236247,78 руб.</w:t>
            </w:r>
            <w:r>
              <w:rPr>
                <w:sz w:val="24"/>
                <w:szCs w:val="28"/>
                <w:highlight w:val="white"/>
              </w:rPr>
              <w:t xml:space="preserve">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hd w:val="clear" w:color="ffffff" w:fill="ffffff" w:themeFill="background1"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2021-2022 годов – 26473845,00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hd w:val="clear" w:color="ffffff" w:fill="ffffff" w:themeFill="background1"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2022-2023 годов – </w:t>
            </w:r>
            <w:r>
              <w:rPr>
                <w:sz w:val="24"/>
                <w:szCs w:val="24"/>
                <w:highlight w:val="white"/>
              </w:rPr>
              <w:t xml:space="preserve">35431454,00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hd w:val="clear" w:color="ffffff" w:fill="ffffff" w:themeFill="background1"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2023-2024 годов – </w:t>
            </w:r>
            <w:r>
              <w:rPr>
                <w:sz w:val="24"/>
                <w:szCs w:val="24"/>
                <w:highlight w:val="white"/>
              </w:rPr>
              <w:t xml:space="preserve">64886790,00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hd w:val="clear" w:color="ffffff" w:fill="ffffff" w:themeFill="background1"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2024-2025 годов</w:t>
            </w:r>
            <w:r>
              <w:rPr>
                <w:sz w:val="24"/>
                <w:szCs w:val="28"/>
                <w:highlight w:val="white"/>
              </w:rPr>
              <w:t xml:space="preserve"> – </w:t>
            </w:r>
            <w:r>
              <w:rPr>
                <w:sz w:val="24"/>
                <w:szCs w:val="24"/>
                <w:highlight w:val="white"/>
              </w:rPr>
              <w:t xml:space="preserve">120292438,00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hd w:val="clear" w:color="ffffff" w:fill="ffffff" w:themeFill="background1"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2025-2026 годов – </w:t>
            </w:r>
            <w:r>
              <w:rPr>
                <w:sz w:val="24"/>
                <w:szCs w:val="28"/>
                <w:highlight w:val="white"/>
              </w:rPr>
              <w:t xml:space="preserve">30335100</w:t>
            </w:r>
            <w:r>
              <w:rPr>
                <w:sz w:val="24"/>
                <w:szCs w:val="28"/>
                <w:highlight w:val="white"/>
              </w:rPr>
              <w:t xml:space="preserve">,00 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2026-2027 годов – 45029600,00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2027-2028 годов – 42521600,00 руб.;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2028-2029 годов – 35419942,00 руб.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кв.м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1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05600,00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рублей, утвержденного приказом Министерства строительства и жилищно-коммунального хозяйст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ва РФ от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25.12.2024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 xml:space="preserve">№ 911/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пр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).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45"/>
              <w:pBdr/>
              <w:spacing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Объем финансирования подлежит ежегодному уточнению в соответствии с решением о бюджете городского округа на очередной финансовый год.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rPr>
          <w:trHeight w:val="1842"/>
        </w:trPr>
        <w:tc>
          <w:tcPr>
            <w:tcBorders/>
            <w:tcW w:w="4500" w:type="dxa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Объемы и источники финансирования по годам и уровням бюджетной системы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5040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18"/>
              </w:numPr>
              <w:pBdr/>
              <w:spacing/>
              <w:ind w:firstLine="0" w:left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Переселение 503 человек из  многоквартирных домов, признанных в установленном порядке аварийными и подлежащими сносу.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numPr>
                <w:ilvl w:val="0"/>
                <w:numId w:val="18"/>
              </w:numPr>
              <w:pBdr/>
              <w:spacing/>
              <w:ind w:firstLine="0" w:left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Расселение аварийного жилищного фонда общей площадью не менее 7703,6 </w:t>
            </w:r>
            <w:r>
              <w:rPr>
                <w:sz w:val="24"/>
                <w:szCs w:val="24"/>
                <w:highlight w:val="white"/>
              </w:rPr>
              <w:t xml:space="preserve">кв.м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rPr>
          <w:trHeight w:val="400"/>
        </w:trPr>
        <w:tc>
          <w:tcPr>
            <w:tcBorders/>
            <w:tcW w:w="4500" w:type="dxa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Ожидаемые конечные результаты реализации Программы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5040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16"/>
              </w:numPr>
              <w:pBdr/>
              <w:spacing/>
              <w:ind w:firstLine="0" w:left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Переселение 503 человек из  многоквартирных домов, признанных в установленном порядке аварийными и подлежащими сносу.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6"/>
              </w:numPr>
              <w:pBdr/>
              <w:spacing/>
              <w:ind w:firstLine="0" w:left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Расселение аварийного жилищного фонда общей площадью не менее 7703,6 </w:t>
            </w:r>
            <w:r>
              <w:rPr>
                <w:sz w:val="24"/>
                <w:szCs w:val="24"/>
                <w:highlight w:val="white"/>
              </w:rPr>
              <w:t xml:space="preserve">кв.м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Bdr/>
        <w:spacing/>
        <w:ind w:left="720"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2. Анализ проблемы, решение которой осуществляется путем реализации Программы, в том числе причин ее возникновения, целесообразности и необходимости решения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spacing/>
        <w:ind w:left="720"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 ведомственном уровне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Одной из основных целей развития страны, устано</w:t>
      </w:r>
      <w:r>
        <w:rPr>
          <w:sz w:val="28"/>
          <w:szCs w:val="28"/>
          <w:highlight w:val="white"/>
        </w:rPr>
        <w:t xml:space="preserve">вленной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является повышение уровня жизни граждан, создание комфортных условий для их проживания.</w:t>
      </w:r>
      <w:r>
        <w:rPr>
          <w:sz w:val="28"/>
          <w:szCs w:val="28"/>
          <w:highlight w:val="white"/>
        </w:rPr>
        <w:t xml:space="preserve">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домов, признанных в установленном порядке аварийными и подлежащими сносу.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Объектом ведомственной целевой программы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«Переселение граждан из аварийного жилищного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фонда в городе Новоалтайске на 2020-2029 годы» являются многоквартирные жилые дома, признанные аварийными и подлежащими сносу до 01.08.2019, расположенные на территории городского округа город Новоалтайск Алтайского края.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Предметом регулирования Программы являются отношения, возникающие в процессе переселения граждан из многоквартирных домов, признанных в установленном порядке до 01.08.2019 аварийными и подлежащими сносу в связи с физическим износом в процессе эксплуатации.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Проблема улучшения жилищных условий граждан, проживающих </w:t>
      </w:r>
      <w:r>
        <w:rPr>
          <w:sz w:val="28"/>
          <w:szCs w:val="28"/>
          <w:highlight w:val="white"/>
        </w:rPr>
        <w:br/>
        <w:t xml:space="preserve">в аварийном жилищном фонде, продолжает оставаться в числе особо актуальных и первостепенных, так как часть жилищного фонда не удовлетворяет потребностям населения.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Проживая в аварийном жилищном фонде, граждане постоянно подвергаются опасности. Уровень благоустройства и санитарно-эпидемиологическое с</w:t>
      </w:r>
      <w:r>
        <w:rPr>
          <w:sz w:val="28"/>
          <w:szCs w:val="28"/>
          <w:highlight w:val="white"/>
        </w:rPr>
        <w:t xml:space="preserve">остояние жилых помещений не соответствуют современным требованиям, предъявляемым к качеству жилья. Кроме этого, аварийный жилищный фонд ухудшает внешний облик города, понижает инвестиционную привлекательность и сдерживает развитие городской инфраструктуры.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Несмотря на то, что в предыдущие годы часть жителей города Новоалтайска </w:t>
      </w:r>
      <w:r>
        <w:rPr>
          <w:sz w:val="28"/>
          <w:szCs w:val="28"/>
          <w:highlight w:val="white"/>
        </w:rPr>
        <w:t xml:space="preserve">Алтайского края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были переселены из аварийного жилищного фонда в новые квартиры, решить указанную проблему полностью не удалось.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Основными причинами неудовлетворительного состояния жилищного фонда в городе Новоалтайске </w:t>
      </w:r>
      <w:r>
        <w:rPr>
          <w:sz w:val="28"/>
          <w:szCs w:val="28"/>
          <w:highlight w:val="white"/>
        </w:rPr>
        <w:t xml:space="preserve">Алтайского края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является физический износ зданий старой части города, недостаточный объем финансовых ресурсов, н</w:t>
      </w:r>
      <w:r>
        <w:rPr>
          <w:sz w:val="28"/>
          <w:szCs w:val="28"/>
          <w:highlight w:val="white"/>
        </w:rPr>
        <w:t xml:space="preserve">аправляемых на его содержание и текущий ремонт, отсутствие средств на проведение капитального ремонта многоквартирных домов, высокая степень износа оборудования и инженерных сетей и, как следствие низкое качеством предоставления жилищно-коммунальных услуг.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Большинство проживающих в аварийных домах граждан не в </w:t>
      </w:r>
      <w:r>
        <w:rPr>
          <w:sz w:val="28"/>
          <w:szCs w:val="28"/>
          <w:highlight w:val="white"/>
        </w:rPr>
        <w:br/>
        <w:t xml:space="preserve">состоянии в настоящее время самостоятельно приобрести или получить на условиях социального найма жилье удовлетворительного качества.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Реализация Программы позволит обеспечить выполнение обязательств муниципального образования перед гражданами, проживающими в условиях, непригодных для постоянного проживания, снизить социальную напряженность и улучшить архитектурный облик города.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5"/>
        </w:numPr>
        <w:pBdr/>
        <w:spacing/>
        <w:ind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Основные цели и задачи Программы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spacing/>
        <w:ind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Основной целью Программы является создание безопасных и благоприятных условий проживания граждан путем устойчивого сокращения непригодного для проживания жилищного фонда.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Указанной цели планируется достигнуть решением следующей задачи: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выплатой лицам, в чьей собственности находятся жилые помещения, входящие в аварий</w:t>
      </w:r>
      <w:r>
        <w:rPr>
          <w:sz w:val="28"/>
          <w:szCs w:val="28"/>
          <w:highlight w:val="white"/>
        </w:rPr>
        <w:t xml:space="preserve">ный жилищный фонд, возмещения за изымаемое жилое помещение, приобретением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Размер возмещения за изымаемое жилое помещение в аварийном многоквартирном доме, выплачиваемого гражданину, являющемуся собственником такого помещения (далее – «размер возмещения за изымаемое жилое помещение»), определяется в соответствии с </w:t>
      </w:r>
      <w:hyperlink r:id="rId11" w:tooltip="consultantplus://offline/ref=D5AF78E5FD66D377264BDD2873BD27A45A08F344015AC492324A3C6178C36F8A0C719DB379FEE11AD90FC93C81C91DC755AECADE55sA31J" w:history="1">
        <w:r>
          <w:rPr>
            <w:rStyle w:val="918"/>
            <w:color w:val="000000"/>
            <w:sz w:val="28"/>
            <w:szCs w:val="28"/>
            <w:highlight w:val="white"/>
            <w:u w:val="none"/>
          </w:rPr>
          <w:t xml:space="preserve">частью 7 статьи 32</w:t>
        </w:r>
      </w:hyperlink>
      <w:r>
        <w:rPr>
          <w:sz w:val="28"/>
          <w:szCs w:val="28"/>
          <w:highlight w:val="white"/>
        </w:rPr>
        <w:t xml:space="preserve"> Жилищного кодекса Российской Федерации и Федеральным </w:t>
      </w:r>
      <w:hyperlink r:id="rId12" w:tooltip="consultantplus://offline/ref=D5AF78E5FD66D377264BDD2873BD27A45A0BF7440655C492324A3C6178C36F8A1E71C5BB7FFAF44E80559E3182sC33J" w:history="1">
        <w:r>
          <w:rPr>
            <w:rStyle w:val="918"/>
            <w:color w:val="000000"/>
            <w:sz w:val="28"/>
            <w:szCs w:val="28"/>
            <w:highlight w:val="white"/>
            <w:u w:val="none"/>
          </w:rPr>
          <w:t xml:space="preserve">законом</w:t>
        </w:r>
      </w:hyperlink>
      <w:r>
        <w:rPr>
          <w:sz w:val="28"/>
          <w:szCs w:val="28"/>
          <w:highlight w:val="white"/>
        </w:rPr>
        <w:t xml:space="preserve"> от 29.07.1998 № 135-ФЗ «Об оценочной деятельности в Российской Федерации».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Размер планируемой максимальной стоимости одного квадратного метра общей площади жилых помещений, предоставляемых гражданам для переселения из аварийного жилищного фонда, а также расчета размера возмещения за изымаемое жилое помещение: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 счет средств Фонда - и</w:t>
      </w:r>
      <w:r>
        <w:rPr>
          <w:sz w:val="28"/>
          <w:szCs w:val="28"/>
          <w:highlight w:val="white"/>
        </w:rPr>
        <w:t xml:space="preserve">з расчета планируемой стоимости 1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.,</w:t>
      </w:r>
      <w:r>
        <w:rPr>
          <w:sz w:val="28"/>
          <w:szCs w:val="28"/>
          <w:highlight w:val="white"/>
        </w:rPr>
        <w:t xml:space="preserve"> общей площади жилого помещен</w:t>
      </w:r>
      <w:r>
        <w:rPr>
          <w:sz w:val="28"/>
          <w:szCs w:val="28"/>
          <w:highlight w:val="white"/>
        </w:rPr>
        <w:t xml:space="preserve">ия </w:t>
      </w:r>
      <w:r>
        <w:rPr>
          <w:sz w:val="28"/>
          <w:szCs w:val="28"/>
          <w:highlight w:val="white"/>
        </w:rPr>
        <w:t xml:space="preserve">105600,00</w:t>
      </w:r>
      <w:r>
        <w:rPr>
          <w:sz w:val="28"/>
          <w:szCs w:val="28"/>
          <w:highlight w:val="white"/>
        </w:rPr>
        <w:t xml:space="preserve"> рублей;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 счет сре</w:t>
      </w:r>
      <w:r>
        <w:rPr>
          <w:sz w:val="28"/>
          <w:szCs w:val="28"/>
          <w:highlight w:val="white"/>
        </w:rPr>
        <w:t xml:space="preserve">дств кр</w:t>
      </w:r>
      <w:r>
        <w:rPr>
          <w:sz w:val="28"/>
          <w:szCs w:val="28"/>
          <w:highlight w:val="white"/>
        </w:rPr>
        <w:t xml:space="preserve">аевого бюджета - из расчета планируемой стоимости 1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., общей площади жилого помещен</w:t>
      </w:r>
      <w:r>
        <w:rPr>
          <w:sz w:val="28"/>
          <w:szCs w:val="28"/>
          <w:highlight w:val="white"/>
        </w:rPr>
        <w:t xml:space="preserve">ия </w:t>
      </w:r>
      <w:r>
        <w:rPr>
          <w:sz w:val="28"/>
          <w:szCs w:val="28"/>
          <w:highlight w:val="white"/>
        </w:rPr>
        <w:t xml:space="preserve">105600,00</w:t>
      </w:r>
      <w:r>
        <w:rPr>
          <w:sz w:val="28"/>
          <w:szCs w:val="28"/>
          <w:highlight w:val="white"/>
        </w:rPr>
        <w:t xml:space="preserve"> рублей;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 счет средств бюджета городского из расчета стои</w:t>
      </w:r>
      <w:r>
        <w:rPr>
          <w:sz w:val="28"/>
          <w:szCs w:val="28"/>
          <w:highlight w:val="white"/>
        </w:rPr>
        <w:t xml:space="preserve">мости 1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.,</w:t>
      </w:r>
      <w:r>
        <w:rPr>
          <w:sz w:val="28"/>
          <w:szCs w:val="28"/>
          <w:highlight w:val="white"/>
        </w:rPr>
        <w:t xml:space="preserve"> общей площади жилог</w:t>
      </w:r>
      <w:r>
        <w:rPr>
          <w:sz w:val="28"/>
          <w:szCs w:val="28"/>
          <w:highlight w:val="white"/>
        </w:rPr>
        <w:t xml:space="preserve">о помещения </w:t>
      </w:r>
      <w:r>
        <w:rPr>
          <w:sz w:val="28"/>
          <w:szCs w:val="28"/>
          <w:highlight w:val="white"/>
        </w:rPr>
        <w:t xml:space="preserve">105600,00</w:t>
      </w:r>
      <w:r>
        <w:rPr>
          <w:sz w:val="28"/>
          <w:szCs w:val="28"/>
          <w:highlight w:val="white"/>
        </w:rPr>
        <w:t xml:space="preserve">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определению размера возме</w:t>
      </w:r>
      <w:r>
        <w:rPr>
          <w:sz w:val="28"/>
          <w:szCs w:val="28"/>
          <w:highlight w:val="white"/>
        </w:rPr>
        <w:t xml:space="preserve">щения </w:t>
      </w:r>
      <w:r>
        <w:rPr>
          <w:sz w:val="28"/>
          <w:szCs w:val="28"/>
          <w:highlight w:val="white"/>
        </w:rPr>
        <w:br/>
        <w:t xml:space="preserve">за изымаемое жилое помещение осуществляется комитетом по управлению имуществом Администрации города Новоалтайска.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определении размера возмещения за изымаемое жилое помещение </w:t>
      </w:r>
      <w:r>
        <w:rPr>
          <w:sz w:val="28"/>
          <w:szCs w:val="28"/>
          <w:highlight w:val="white"/>
        </w:rPr>
        <w:br/>
        <w:t xml:space="preserve">не подлежат учету: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произведенные собственником жилого помещения улучшения такого помещения, в том числе по увеличению его общей площади, после получения уведомления о принятом </w:t>
      </w:r>
      <w:r>
        <w:rPr>
          <w:sz w:val="28"/>
          <w:szCs w:val="28"/>
          <w:highlight w:val="white"/>
        </w:rPr>
        <w:t xml:space="preserve">решении</w:t>
      </w:r>
      <w:r>
        <w:rPr>
          <w:sz w:val="28"/>
          <w:szCs w:val="28"/>
          <w:highlight w:val="white"/>
        </w:rPr>
        <w:t xml:space="preserve"> об изъятии жилого помещения, если </w:t>
      </w:r>
      <w:r>
        <w:rPr>
          <w:sz w:val="28"/>
          <w:szCs w:val="28"/>
          <w:highlight w:val="white"/>
        </w:rPr>
        <w:t xml:space="preserve">данные улучшения влекут за собой увеличение стоимости жилого помещения;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сделки, заключенные собственником жилого помещения, после получения уведомления о принятом </w:t>
      </w:r>
      <w:r>
        <w:rPr>
          <w:sz w:val="28"/>
          <w:szCs w:val="28"/>
          <w:highlight w:val="white"/>
        </w:rPr>
        <w:t xml:space="preserve">решении</w:t>
      </w:r>
      <w:r>
        <w:rPr>
          <w:sz w:val="28"/>
          <w:szCs w:val="28"/>
          <w:highlight w:val="white"/>
        </w:rPr>
        <w:t xml:space="preserve"> об изъятии такого помещения, если данные сделки влекут за собой увеличение размера убытков, в том числе упущенной выгоды.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numPr>
          <w:ilvl w:val="0"/>
          <w:numId w:val="15"/>
        </w:numPr>
        <w:pBdr/>
        <w:spacing/>
        <w:ind/>
        <w:jc w:val="center"/>
        <w:outlineLvl w:val="1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Срок реализации Программы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widowControl w:val="false"/>
        <w:pBdr/>
        <w:spacing/>
        <w:ind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Реализация мероприятий Программы планируется с 2020 по 2029 год двухлетними этапами.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Источн</w:t>
      </w:r>
      <w:r>
        <w:rPr>
          <w:sz w:val="28"/>
          <w:szCs w:val="28"/>
          <w:highlight w:val="white"/>
        </w:rPr>
        <w:t xml:space="preserve">иками финансирования мероприятий Программы являются средства Фонда, средства краевого бюджета и средства бюджета городского округа, которые направляются на приобретение жилых помещений, по общей площади не менее ранее занимаемых гражданами жилых помещений </w:t>
      </w:r>
      <w:r>
        <w:rPr>
          <w:sz w:val="28"/>
          <w:szCs w:val="28"/>
          <w:highlight w:val="white"/>
        </w:rPr>
        <w:br/>
        <w:t xml:space="preserve">в аварийных многоквартирных домах, либо выплату возмещения за жилые помещения, входящие в аварийный жилищный фонд, лицам, в чьей собственности они находятся.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Общий объем средств, направляемых на реализацию Программы, составл</w:t>
      </w:r>
      <w:r>
        <w:rPr>
          <w:sz w:val="28"/>
          <w:szCs w:val="28"/>
        </w:rPr>
        <w:t xml:space="preserve">яет </w:t>
      </w:r>
      <w:r>
        <w:rPr>
          <w:sz w:val="28"/>
          <w:szCs w:val="24"/>
          <w:highlight w:val="none"/>
          <w:lang w:val="ru-RU"/>
        </w:rPr>
        <w:t xml:space="preserve">513098014</w:t>
      </w:r>
      <w:r>
        <w:rPr>
          <w:sz w:val="28"/>
          <w:szCs w:val="24"/>
          <w:highlight w:val="white"/>
          <w:lang w:val="ru-RU"/>
        </w:rPr>
        <w:t xml:space="preserve">,70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рублей, из них: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средства Фонда </w:t>
      </w:r>
      <w:r>
        <w:rPr>
          <w:sz w:val="28"/>
          <w:szCs w:val="28"/>
          <w:highlight w:val="white"/>
        </w:rPr>
        <w:t xml:space="preserve">– 56450050,16 руб., в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2020-2021 годов – 54836750,16 руб.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2021-2022 годов – 1613300,0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2022-2023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2023-2024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2024-2025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2025-2026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2026-2027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2027-2028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2028-2029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-средства краевого бюджета –</w:t>
      </w:r>
      <w:r>
        <w:rPr>
          <w:sz w:val="28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  <w:lang w:val="ru-RU"/>
        </w:rPr>
        <w:t xml:space="preserve">39020947,76</w:t>
      </w:r>
      <w:r>
        <w:rPr>
          <w:sz w:val="28"/>
          <w:szCs w:val="28"/>
          <w:highlight w:val="white"/>
        </w:rPr>
        <w:t xml:space="preserve"> руб., в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2020-2021 годов – 682800,95 руб.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2021-2022 годов – 1000,0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2022-2023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2023-2024 годов – </w:t>
      </w:r>
      <w:r>
        <w:rPr>
          <w:sz w:val="28"/>
          <w:szCs w:val="28"/>
        </w:rPr>
        <w:t xml:space="preserve">0</w:t>
      </w:r>
      <w:r>
        <w:rPr>
          <w:sz w:val="28"/>
          <w:szCs w:val="28"/>
          <w:highlight w:val="white"/>
        </w:rPr>
        <w:t xml:space="preserve">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2024-2025 годов – 38337146,81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2025-2026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2026-2027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2027-2028 годов – 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этап 2028-2029 годов – 0 руб.;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средства бюджета городского округа - 417627016</w:t>
      </w:r>
      <w:r>
        <w:rPr>
          <w:sz w:val="28"/>
          <w:szCs w:val="28"/>
          <w:highlight w:val="white"/>
        </w:rPr>
        <w:t xml:space="preserve">,78</w:t>
      </w:r>
      <w:r>
        <w:rPr>
          <w:sz w:val="28"/>
          <w:szCs w:val="28"/>
        </w:rPr>
        <w:t xml:space="preserve"> руб.,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этап 2020-2021 годов – 17236247,78 руб.;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этап 2021-2022 годов – 26473845,00 руб.;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этап 2022-2023 годов – </w:t>
      </w:r>
      <w:r>
        <w:rPr>
          <w:sz w:val="28"/>
          <w:szCs w:val="24"/>
        </w:rPr>
        <w:t xml:space="preserve">35431454,00</w:t>
      </w:r>
      <w:r>
        <w:rPr>
          <w:sz w:val="28"/>
          <w:szCs w:val="28"/>
        </w:rPr>
        <w:t xml:space="preserve"> руб.;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этап 2023-2024 годов – </w:t>
      </w:r>
      <w:r>
        <w:rPr>
          <w:sz w:val="28"/>
          <w:szCs w:val="24"/>
        </w:rPr>
        <w:t xml:space="preserve">64886790,00</w:t>
      </w:r>
      <w:r>
        <w:rPr>
          <w:sz w:val="28"/>
          <w:szCs w:val="28"/>
        </w:rPr>
        <w:t xml:space="preserve"> руб.;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этап 2024-2025 годов – </w:t>
      </w:r>
      <w:r>
        <w:rPr>
          <w:sz w:val="28"/>
          <w:szCs w:val="24"/>
        </w:rPr>
        <w:t xml:space="preserve">120292438</w:t>
      </w:r>
      <w:r>
        <w:rPr>
          <w:sz w:val="28"/>
          <w:szCs w:val="24"/>
        </w:rPr>
        <w:t xml:space="preserve">,00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руб.;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этап 2025-2026 годов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30335100</w:t>
      </w:r>
      <w:r>
        <w:rPr>
          <w:sz w:val="28"/>
          <w:szCs w:val="28"/>
          <w:highlight w:val="white"/>
        </w:rPr>
        <w:t xml:space="preserve">,0</w:t>
      </w:r>
      <w:r>
        <w:rPr>
          <w:sz w:val="24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 р</w:t>
      </w:r>
      <w:r>
        <w:rPr>
          <w:sz w:val="28"/>
          <w:szCs w:val="28"/>
          <w:highlight w:val="white"/>
        </w:rPr>
        <w:t xml:space="preserve">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2026-2027 годов – </w:t>
      </w:r>
      <w:r>
        <w:rPr>
          <w:sz w:val="28"/>
          <w:szCs w:val="28"/>
          <w:highlight w:val="white"/>
        </w:rPr>
        <w:t xml:space="preserve">45029600,</w:t>
      </w:r>
      <w:r>
        <w:rPr>
          <w:sz w:val="28"/>
          <w:szCs w:val="28"/>
          <w:highlight w:val="white"/>
        </w:rPr>
        <w:t xml:space="preserve">00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2027-2028 годов 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42521600,00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2028-2029 годов – 35419942,00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Объем финансирования подлежит ежегодному уточнению в соответствии с решением о бюджете городского округа на очередной финансовый год.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firstLine="709"/>
        <w:jc w:val="both"/>
        <w:outlineLvl w:val="1"/>
        <w:rPr>
          <w:b/>
        </w:rPr>
      </w:pPr>
      <w:r>
        <w:rPr>
          <w:b/>
        </w:rPr>
        <w:tab/>
      </w:r>
      <w:r>
        <w:rPr>
          <w:b/>
        </w:rPr>
      </w:r>
      <w:r>
        <w:rPr>
          <w:b/>
        </w:rPr>
      </w:r>
    </w:p>
    <w:p>
      <w:pPr>
        <w:widowControl w:val="false"/>
        <w:numPr>
          <w:ilvl w:val="0"/>
          <w:numId w:val="15"/>
        </w:numPr>
        <w:pBdr/>
        <w:spacing/>
        <w:ind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ожидаемых результатов реализации Программы, оценка эффективности расходования бюджетных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hyperlink w:tooltip="Current Document" w:anchor="P3783" w:history="1">
        <w:r>
          <w:rPr>
            <w:sz w:val="28"/>
            <w:szCs w:val="28"/>
          </w:rPr>
          <w:t xml:space="preserve">показатели</w:t>
        </w:r>
      </w:hyperlink>
      <w:r>
        <w:rPr>
          <w:sz w:val="28"/>
          <w:szCs w:val="28"/>
        </w:rPr>
        <w:t xml:space="preserve"> выполнения ведомственной целевой Программы по переселению граждан из аварийного жилищного фонда приведены в приложении 1 к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Такими показателями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17"/>
        </w:numPr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переселенных из аварийного жилья граждан: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2020 - 2021 годов - 73 человека;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2021 - 2022 годов - 49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2022 - 2023 годов - 89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2023 - 2024 годов - </w:t>
      </w:r>
      <w:r>
        <w:rPr>
          <w:sz w:val="28"/>
          <w:szCs w:val="28"/>
          <w:highlight w:val="none"/>
        </w:rPr>
        <w:t xml:space="preserve">129</w:t>
      </w:r>
      <w:r>
        <w:rPr>
          <w:sz w:val="28"/>
          <w:szCs w:val="28"/>
          <w:highlight w:val="white"/>
        </w:rPr>
        <w:t xml:space="preserve"> ч</w:t>
      </w:r>
      <w:r>
        <w:rPr>
          <w:sz w:val="28"/>
          <w:szCs w:val="28"/>
        </w:rPr>
        <w:t xml:space="preserve">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2024 - 2025 годов - 68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2025 - 2026 годов - 3 человека;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2026 - 2027 годов - 30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2027 - 2028 годов - 15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2028 - 2029 годов - 47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17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расселенного аварийного жилищного фонда: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2020 - 2021 годов – 1495,7 кв.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2021 - 2022 годов – 538,8 кв.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2022 - 2023 годов – 1282,1 кв.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2023 - 2024 годов – </w:t>
      </w:r>
      <w:r>
        <w:rPr>
          <w:sz w:val="28"/>
          <w:szCs w:val="28"/>
          <w:highlight w:val="none"/>
        </w:rPr>
        <w:t xml:space="preserve">1501</w:t>
      </w:r>
      <w:r>
        <w:rPr>
          <w:sz w:val="28"/>
          <w:szCs w:val="28"/>
          <w:highlight w:val="white"/>
        </w:rPr>
        <w:t xml:space="preserve">,1 кв. 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2024 - 2025 годов – 939,4 кв.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2025 - 2026 годов – 293,6 кв.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2026 - 2027 годов – 447,4 кв.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2027 - 2028 годов – 327,4 кв.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2028 - 2029 годов – 878,1 кв. 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эффективность реализации Программы будет оцениваться достижением основной ее цели - создания безопасных и благоприятных условий проживания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проводится по следующим направлениям: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выплата лицам, в чьей собственности находятся жилые помещения, входящие в аварийный жилищный фонд, возмещения за изымаемые жилые помещения, производятся в соответствии со </w:t>
      </w:r>
      <w:hyperlink r:id="rId13" w:tooltip="consultantplus://offline/ref=D5AF78E5FD66D377264BDD2873BD27A45A08F344015AC492324A3C6178C36F8A0C719DB77DF9E84A8F40C860C79F0EC55EAEC8D64AAA7325s736J" w:history="1">
        <w:r>
          <w:rPr>
            <w:rStyle w:val="918"/>
            <w:color w:val="000000"/>
            <w:sz w:val="28"/>
            <w:szCs w:val="28"/>
            <w:u w:val="none"/>
          </w:rPr>
          <w:t xml:space="preserve">статьей 32</w:t>
        </w:r>
      </w:hyperlink>
      <w:r>
        <w:rPr>
          <w:sz w:val="28"/>
          <w:szCs w:val="28"/>
        </w:rPr>
        <w:t xml:space="preserve"> Жилищного кодекса </w:t>
      </w:r>
      <w:r>
        <w:rPr>
          <w:sz w:val="28"/>
          <w:szCs w:val="28"/>
        </w:rPr>
        <w:t xml:space="preserve">Российской Федерации, приобретение жилых помещений в многокв</w:t>
      </w:r>
      <w:r>
        <w:rPr>
          <w:sz w:val="28"/>
          <w:szCs w:val="28"/>
        </w:rPr>
        <w:t xml:space="preserve">артирных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порядке, для последующего предоставления жилых помещений гражданам, переселяемым из занимаемых по договорам</w:t>
      </w:r>
      <w:r>
        <w:rPr>
          <w:sz w:val="28"/>
          <w:szCs w:val="28"/>
        </w:rPr>
        <w:t xml:space="preserve"> социального найма жилых помещений в признанных аварийными многоквартирных домах.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с указанием исполнителей, сроков реализации, размеров необходимых финансовых ресурсов и их источников приведен в приложении 2 к Программе.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numPr>
          <w:ilvl w:val="0"/>
          <w:numId w:val="15"/>
        </w:numPr>
        <w:pBdr/>
        <w:spacing/>
        <w:ind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системы управления реализацией Программы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между Министерством строительства и жилищно-коммунального хозяйства Алтайского края и органами местного самоуправления города,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реализацией программных мероприятий осуществляется Комитетом ЖКГХЭТС.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ЖКГХЭТС контролирует выполнение программных мероприятий, выявляет несоответствие результатов реализуемых мероприятий предусмотренных Программой, устанавливает причины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ожидаемых результатов и определяет меры по их устранению.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индикаторов (показателей) и (или) объема бюджетных ассигнований Комитет ЖКГХЭТС вносит изменения </w:t>
      </w:r>
      <w:r>
        <w:rPr>
          <w:sz w:val="28"/>
          <w:szCs w:val="28"/>
        </w:rPr>
        <w:br/>
        <w:t xml:space="preserve">в постановление Администрации города об утверждении ведомственной целевой Программы.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ходе реализации Программы, выполнении условий предоставления финансовой поддержки за счет средств Фонда, краевого бюджета и отчет о расходовании указанных средств за прошедший отчетный период направляются ответственным исполнителем в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инистерство строительства и жилищно-коммунального хозяйства Алтайского края </w:t>
        <w:br/>
        <w:t xml:space="preserve">в порядке и в сроки, установленные Министерством строительства </w:t>
        <w:br/>
        <w:t xml:space="preserve">и жилищно-коммунального хозяйства Алтайского края, а также ежеквартально до 20 числа месяца, следующего за отчетным</w:t>
      </w:r>
      <w:r>
        <w:rPr>
          <w:sz w:val="28"/>
          <w:szCs w:val="28"/>
        </w:rPr>
        <w:t xml:space="preserve"> кварталом, </w:t>
        <w:br/>
        <w:t xml:space="preserve">в комитет по экономической политике и инвестициям и комитет по финансам, налоговой и кредитной политике Администрации города Новоалтайска</w:t>
      </w:r>
      <w:r>
        <w:rPr>
          <w:sz w:val="28"/>
          <w:szCs w:val="28"/>
          <w:lang w:val="ru-RU"/>
        </w:rPr>
        <w:t xml:space="preserve"> Алтайского края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ЖКГХЭТС организует и проводит информационно-разъяснительную работу по доведению до све</w:t>
      </w:r>
      <w:r>
        <w:rPr>
          <w:sz w:val="28"/>
          <w:szCs w:val="28"/>
        </w:rPr>
        <w:t xml:space="preserve">дения граждан целей, условий и критериев Программы, а также освещает в средствах массовой информации итоги ее реализации. Вся информация, связанная с разработкой, актуализацией и реализацией Программы, размещается на официальном сайте Администрации города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Новоалтайска Алтайского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  <w:sectPr>
          <w:headerReference w:type="default" r:id="rId9"/>
          <w:footnotePr/>
          <w:endnotePr/>
          <w:type w:val="continuous"/>
          <w:pgSz w:h="16838" w:orient="portrait" w:w="11906"/>
          <w:pgMar w:top="1134" w:right="850" w:bottom="1134" w:left="1701" w:header="709" w:footer="709" w:gutter="0"/>
          <w:cols w:num="1" w:sep="0" w:space="708" w:equalWidth="1"/>
        </w:sectPr>
      </w:pPr>
      <w:r/>
      <w:r/>
    </w:p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/>
      <w:bookmarkStart w:id="1" w:name="Par115"/>
      <w:r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Приложение 1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ведомственной целевой программе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r>
        <w:rPr>
          <w:rFonts w:ascii="Times New Roman" w:hAnsi="Times New Roman"/>
          <w:sz w:val="28"/>
          <w:szCs w:val="28"/>
          <w:lang w:val="ru-RU"/>
        </w:rPr>
        <w:t xml:space="preserve">аварийного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Новоалтайске</w:t>
      </w:r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ИНДИКАТОРЫ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950"/>
        <w:pBdr/>
        <w:spacing/>
        <w:ind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Программы города Новоалтайска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510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1479"/>
        <w:gridCol w:w="1242"/>
      </w:tblGrid>
      <w:tr>
        <w:trPr>
          <w:cantSplit/>
        </w:trPr>
        <w:tc>
          <w:tcPr>
            <w:tcBorders/>
            <w:tcW w:w="426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3261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индикатора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(показателя)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301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Единицы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измерения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gridSpan w:val="7"/>
            <w:tcBorders/>
            <w:tcW w:w="10115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Значение по годам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>
          <w:cantSplit/>
          <w:trHeight w:val="278"/>
        </w:trPr>
        <w:tc>
          <w:tcPr>
            <w:tcBorders/>
            <w:tcW w:w="426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3261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1301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8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2019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gridSpan w:val="5"/>
            <w:tcBorders/>
            <w:tcW w:w="7158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годы  реализации  Программы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>
          <w:cantSplit/>
        </w:trPr>
        <w:tc>
          <w:tcPr>
            <w:tcBorders/>
            <w:tcW w:w="426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3261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1301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8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2020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2021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2022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2023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242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2024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3261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301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8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242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3261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переселенных из аварийного жилья граждан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301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человек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8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89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1242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0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3261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расселенного аварийного жилищного фонда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301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8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544,8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882,8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612,9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538,8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1282,1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1242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1501,10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504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2659"/>
      </w:tblGrid>
      <w:tr>
        <w:trPr>
          <w:cantSplit/>
        </w:trPr>
        <w:tc>
          <w:tcPr>
            <w:tcBorders/>
            <w:tcW w:w="426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3261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индикатора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(показателя)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301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Единицы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измерения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gridSpan w:val="5"/>
            <w:tcBorders/>
            <w:tcW w:w="7394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Значение по годам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2659" w:type="dxa"/>
            <w:vMerge w:val="restart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 2020 – 2029 годы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>
          <w:cantSplit/>
        </w:trPr>
        <w:tc>
          <w:tcPr>
            <w:tcBorders/>
            <w:tcW w:w="426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3261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1301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gridSpan w:val="5"/>
            <w:tcBorders/>
            <w:tcW w:w="7394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годы  реализации  Программы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2659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>
          <w:cantSplit/>
        </w:trPr>
        <w:tc>
          <w:tcPr>
            <w:tcBorders/>
            <w:tcW w:w="426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3261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1301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8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2025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2026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2027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2028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2029 год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2659" w:type="dxa"/>
            <w:vMerge w:val="continue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3261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301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8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14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147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16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3261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переселенных из аварийного жилья граждан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301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человек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8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65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503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3261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расселенного аварийного жилищного фонда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301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8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939,4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293,6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447,4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327,4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147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878,1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659" w:type="dxa"/>
            <w:vAlign w:val="top"/>
            <w:textDirection w:val="lrTb"/>
            <w:noWrap w:val="false"/>
          </w:tcPr>
          <w:p>
            <w:pPr>
              <w:pStyle w:val="9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7703,6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2</w: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ведомственной целевой программе</w: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r>
        <w:rPr>
          <w:rFonts w:ascii="Times New Roman" w:hAnsi="Times New Roman"/>
          <w:sz w:val="28"/>
          <w:szCs w:val="28"/>
          <w:lang w:val="ru-RU"/>
        </w:rPr>
        <w:t xml:space="preserve">аварийного</w: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50"/>
        <w:pBdr/>
        <w:spacing/>
        <w:ind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Новоалтайске</w:t>
      </w:r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50"/>
        <w:pBdr/>
        <w:spacing/>
        <w:ind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50"/>
        <w:pBdr/>
        <w:spacing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МЕРОПРИЯТИЯ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pStyle w:val="950"/>
        <w:pBdr/>
        <w:spacing/>
        <w:ind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ведомственной целевой программы города Новоалтайска</w: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950"/>
        <w:pBdr/>
        <w:spacing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«Переселение граждан из аварийного жилищного фонда в городе Новоалтайске на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2020-2029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pStyle w:val="950"/>
        <w:pBdr/>
        <w:spacing/>
        <w:ind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tbl>
      <w:tblPr>
        <w:tblW w:w="149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>
        <w:trPr>
          <w:cantSplit/>
          <w:trHeight w:val="463"/>
        </w:trPr>
        <w:tc>
          <w:tcPr>
            <w:tcBorders/>
            <w:tcW w:w="42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11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 w:right="-110" w:left="-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</w:t>
            </w:r>
            <w:r>
              <w:rPr>
                <w:b w:val="0"/>
                <w:bCs w:val="0"/>
              </w:rPr>
              <w:t xml:space="preserve">п</w:t>
            </w:r>
            <w:r>
              <w:rPr>
                <w:b w:val="0"/>
                <w:bCs w:val="0"/>
              </w:rPr>
              <w:t xml:space="preserve">/п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362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Цель, задачи,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92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Сроки 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реал</w:t>
            </w:r>
            <w:r>
              <w:rPr>
                <w:b w:val="0"/>
                <w:bCs w:val="0"/>
              </w:rPr>
              <w:t xml:space="preserve">и</w:t>
            </w: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зации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меро</w:t>
            </w:r>
            <w:r>
              <w:rPr>
                <w:b w:val="0"/>
                <w:bCs w:val="0"/>
              </w:rPr>
              <w:t xml:space="preserve">- 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прия-тий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655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Испо</w:t>
            </w:r>
            <w:r>
              <w:rPr>
                <w:b w:val="0"/>
                <w:bCs w:val="0"/>
              </w:rPr>
              <w:t xml:space="preserve">л</w:t>
            </w: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нители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меро</w:t>
            </w:r>
            <w:r>
              <w:rPr>
                <w:b w:val="0"/>
                <w:bCs w:val="0"/>
              </w:rPr>
              <w:t xml:space="preserve">-  </w:t>
            </w:r>
            <w:r>
              <w:rPr>
                <w:b w:val="0"/>
                <w:bCs w:val="0"/>
              </w:rPr>
              <w:br/>
              <w:t xml:space="preserve">приятий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Сумма расходов, рублей</w:t>
            </w:r>
            <w:r>
              <w:rPr>
                <w:rFonts w:ascii="Times New Roman" w:hAnsi="Times New Roman"/>
                <w:b w:val="0"/>
                <w:bCs w:val="0"/>
              </w:rPr>
            </w:r>
            <w:r>
              <w:rPr>
                <w:rFonts w:ascii="Times New Roman" w:hAnsi="Times New Roman"/>
                <w:b w:val="0"/>
                <w:bCs w:val="0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Источник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 w:left="-108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финансирования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cantSplit/>
          <w:trHeight w:val="1119"/>
        </w:trPr>
        <w:tc>
          <w:tcPr>
            <w:tcBorders/>
            <w:tcW w:w="42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362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92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655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2020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2021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33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2022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2023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33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2024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/>
            <w:r/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9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3624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Цель: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создание безопасных и благоприятных условий проживания граждан путем устойчивого сокращения непригодного для проживания жилищного фонда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2020-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2029 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 w:right="-10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 w:right="-10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Комитет по управлению имуществом Администрации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средства Фонда,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краевой бюджет,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Задача: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выплата лицам, в чьей собственности находятся жилые помещ</w:t>
            </w:r>
            <w:r>
              <w:rPr>
                <w:b w:val="0"/>
                <w:bCs w:val="0"/>
              </w:rPr>
              <w:t xml:space="preserve">ения, входящие в аварийный жилищный фонд, возмещения за изымаемое жилое помещение,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</w:t>
            </w:r>
            <w:r>
              <w:rPr>
                <w:b w:val="0"/>
                <w:bCs w:val="0"/>
              </w:rPr>
              <w:t xml:space="preserve">установленном порядке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/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2020-2029 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Bdr/>
              <w:spacing/>
              <w:ind w:right="-10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 w:right="-10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Комитет по управлению имуществом Администрации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средства Фонда,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краевой бюджет,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34"/>
        </w:trPr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362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9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124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1: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переселение граждан, проживающих в многоквартирном жилом доме по адресам: ул. Зеленая, 2а, ул. Чернова, 21, ул. 9 Января, 21, ул. Белякова, 42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2022год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48633722,80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35234300,00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427000,00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12972422,80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всего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средства Фонда,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краевой бюджет,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414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2: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проведение оценки стоимости изымаемых жилых помещений по адресу: ул</w:t>
            </w:r>
            <w:r>
              <w:rPr>
                <w:b w:val="0"/>
                <w:bCs w:val="0"/>
              </w:rPr>
              <w:t xml:space="preserve">. Б</w:t>
            </w:r>
            <w:r>
              <w:rPr>
                <w:b w:val="0"/>
                <w:bCs w:val="0"/>
              </w:rPr>
              <w:t xml:space="preserve">елякова, 42, </w:t>
              <w:br/>
              <w:t xml:space="preserve">ул. 9 Января, 21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2020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Комитет по управлению имуществом Администрации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97000,00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/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182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3: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переселение граждан, проживающих в многоквартирном жилом доме по </w:t>
            </w:r>
            <w:r>
              <w:rPr>
                <w:b w:val="0"/>
                <w:bCs w:val="0"/>
              </w:rPr>
              <w:t xml:space="preserve">адресу</w:t>
            </w:r>
            <w:r>
              <w:rPr>
                <w:b w:val="0"/>
                <w:bCs w:val="0"/>
              </w:rPr>
              <w:t xml:space="preserve">:у</w:t>
            </w:r>
            <w:r>
              <w:rPr>
                <w:b w:val="0"/>
                <w:bCs w:val="0"/>
              </w:rPr>
              <w:t xml:space="preserve">л</w:t>
            </w:r>
            <w:r>
              <w:rPr>
                <w:b w:val="0"/>
                <w:bCs w:val="0"/>
              </w:rPr>
              <w:t xml:space="preserve">. Белякова, 42, </w:t>
              <w:br/>
              <w:t xml:space="preserve">ул. Вокзальная, 75а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pBdr/>
              <w:spacing/>
              <w:ind w:right="-204" w:left="-8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2021-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 w:right="-204" w:left="-8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2022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 w:right="-204" w:left="-8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22006364,11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19602450,16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255800,95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2148113,00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16528652,0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1613300,0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1000,0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14914352,00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всего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средства Фонда,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краевой бюджет,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384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6.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4: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проведение оценки стоимости изымаемых жилых помещений по адресам: ул. Партизанская, 9, </w:t>
              <w:br/>
              <w:t xml:space="preserve">ул. Вокзальная, 75а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2021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Комитет по управлению имуществом Администрации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155000,00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tbl>
      <w:tblPr>
        <w:tblW w:w="149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473"/>
        <w:gridCol w:w="1561"/>
      </w:tblGrid>
      <w:tr>
        <w:trPr>
          <w:trHeight w:val="1023"/>
        </w:trPr>
        <w:tc>
          <w:tcPr>
            <w:tcBorders>
              <w:top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216" w:left="-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7</w:t>
            </w:r>
            <w:r>
              <w:rPr>
                <w:b w:val="0"/>
                <w:bCs w:val="0"/>
              </w:rPr>
              <w:t xml:space="preserve">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</w:t>
            </w:r>
            <w:r>
              <w:rPr>
                <w:b w:val="0"/>
                <w:bCs w:val="0"/>
                <w:lang w:val="en-US"/>
              </w:rPr>
              <w:t xml:space="preserve">5</w:t>
            </w:r>
            <w:r>
              <w:rPr>
                <w:b w:val="0"/>
                <w:bCs w:val="0"/>
              </w:rPr>
              <w:t xml:space="preserve">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исполнение судебных решений по переселению граждан, проживающих в аварийных жилых домах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2020-202</w:t>
            </w:r>
            <w:r>
              <w:rPr>
                <w:b w:val="0"/>
                <w:bCs w:val="0"/>
                <w:lang w:val="en-US"/>
              </w:rPr>
              <w:t xml:space="preserve">4</w:t>
            </w:r>
            <w:r>
              <w:rPr>
                <w:b w:val="0"/>
                <w:bCs w:val="0"/>
              </w:rPr>
              <w:t xml:space="preserve"> 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Новоалтайска,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Комитет ЖКГХЭТС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4166824,98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24170732,00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20517102,00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64886790,00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158629584,81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38337146,81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120292438,00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Всего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  <w:t xml:space="preserve">краевой бюджет,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023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74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8</w:t>
            </w:r>
            <w:r>
              <w:rPr>
                <w:b w:val="0"/>
                <w:bCs w:val="0"/>
              </w:rPr>
              <w:t xml:space="preserve">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ВСЕГО по этапам за 2020 – 2024 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2020-2024 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Комитет по управлению имуществом</w:t>
            </w: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Администрации города Новоалтайска,</w:t>
            </w: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Администрация города Новоалтайска</w:t>
            </w: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</w:p>
        </w:tc>
        <w:tc>
          <w:tcPr>
            <w:tcBorders>
              <w:top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52897547,78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35234300,00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427000,00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17236247,78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46332096,11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19602450,16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255800,95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26473845,00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</w:rPr>
              <w:t xml:space="preserve">37045754,00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</w:rPr>
              <w:t xml:space="preserve">1613300,00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</w:rPr>
              <w:t xml:space="preserve">1000,00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</w:rPr>
              <w:t xml:space="preserve">35431454,00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</w:rPr>
              <w:t xml:space="preserve">64886790,00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</w:rPr>
              <w:t xml:space="preserve">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  <w:r>
              <w:rPr>
                <w:b w:val="0"/>
                <w:bCs w:val="0"/>
                <w:sz w:val="18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</w:rPr>
              <w:t xml:space="preserve">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</w:rPr>
              <w:t xml:space="preserve">64886790,00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158629584,81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38337146,81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120292438,00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18"/>
                <w:highlight w:val="none"/>
              </w:rPr>
            </w:pPr>
            <w:r>
              <w:rPr>
                <w:b w:val="0"/>
                <w:bCs w:val="0"/>
                <w:sz w:val="18"/>
              </w:rPr>
              <w:t xml:space="preserve">Всего</w:t>
            </w:r>
            <w:r>
              <w:rPr>
                <w:b w:val="0"/>
                <w:bCs w:val="0"/>
                <w:sz w:val="18"/>
                <w:highlight w:val="none"/>
              </w:rPr>
            </w:r>
            <w:r>
              <w:rPr>
                <w:b w:val="0"/>
                <w:bCs w:val="0"/>
                <w:sz w:val="18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  <w:highlight w:val="none"/>
              </w:rPr>
            </w:pPr>
            <w:r>
              <w:rPr>
                <w:b w:val="0"/>
                <w:bCs w:val="0"/>
                <w:sz w:val="18"/>
                <w:highlight w:val="none"/>
              </w:rPr>
              <w:t xml:space="preserve">средства Фонда</w:t>
            </w:r>
            <w:r>
              <w:rPr>
                <w:b w:val="0"/>
                <w:bCs w:val="0"/>
                <w:sz w:val="18"/>
                <w:highlight w:val="none"/>
              </w:rPr>
            </w:r>
            <w:r>
              <w:rPr>
                <w:b w:val="0"/>
                <w:bCs w:val="0"/>
                <w:sz w:val="18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  <w:highlight w:val="none"/>
              </w:rPr>
            </w:pPr>
            <w:r>
              <w:rPr>
                <w:b w:val="0"/>
                <w:bCs w:val="0"/>
                <w:sz w:val="18"/>
                <w:highlight w:val="none"/>
              </w:rPr>
            </w:r>
            <w:r>
              <w:rPr>
                <w:b w:val="0"/>
                <w:bCs w:val="0"/>
                <w:sz w:val="18"/>
                <w:highlight w:val="none"/>
              </w:rPr>
            </w:r>
            <w:r>
              <w:rPr>
                <w:b w:val="0"/>
                <w:bCs w:val="0"/>
                <w:sz w:val="18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  <w:highlight w:val="none"/>
              </w:rPr>
            </w:pPr>
            <w:r>
              <w:rPr>
                <w:b w:val="0"/>
                <w:bCs w:val="0"/>
                <w:sz w:val="18"/>
                <w:highlight w:val="none"/>
              </w:rPr>
              <w:t xml:space="preserve">краевой </w:t>
            </w:r>
            <w:r>
              <w:rPr>
                <w:b w:val="0"/>
                <w:bCs w:val="0"/>
                <w:sz w:val="18"/>
                <w:highlight w:val="none"/>
              </w:rPr>
              <w:t xml:space="preserve">бюджет,</w:t>
            </w:r>
            <w:r>
              <w:rPr>
                <w:b w:val="0"/>
                <w:bCs w:val="0"/>
                <w:sz w:val="18"/>
                <w:highlight w:val="none"/>
              </w:rPr>
            </w:r>
            <w:r>
              <w:rPr>
                <w:b w:val="0"/>
                <w:bCs w:val="0"/>
                <w:sz w:val="18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  <w:highlight w:val="none"/>
              </w:rPr>
            </w:pPr>
            <w:r>
              <w:rPr>
                <w:b w:val="0"/>
                <w:bCs w:val="0"/>
                <w:sz w:val="18"/>
                <w:highlight w:val="none"/>
              </w:rPr>
            </w:r>
            <w:r>
              <w:rPr>
                <w:b w:val="0"/>
                <w:bCs w:val="0"/>
                <w:sz w:val="18"/>
                <w:highlight w:val="none"/>
              </w:rPr>
            </w:r>
            <w:r>
              <w:rPr>
                <w:b w:val="0"/>
                <w:bCs w:val="0"/>
                <w:sz w:val="18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</w:rPr>
              <w:t xml:space="preserve">бюджет городского округа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highlight w:val="none"/>
              </w:rPr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</w:tr>
    </w:tbl>
    <w:tbl>
      <w:tblPr>
        <w:tblW w:w="149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473"/>
        <w:gridCol w:w="1561"/>
      </w:tblGrid>
      <w:tr>
        <w:trPr/>
        <w:tc>
          <w:tcPr>
            <w:tcBorders/>
            <w:tcW w:w="42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110"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</w:t>
            </w:r>
            <w:r>
              <w:rPr>
                <w:b w:val="0"/>
                <w:bCs w:val="0"/>
              </w:rPr>
              <w:t xml:space="preserve">п</w:t>
            </w:r>
            <w:r>
              <w:rPr>
                <w:b w:val="0"/>
                <w:bCs w:val="0"/>
              </w:rPr>
              <w:t xml:space="preserve">/п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362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Цель, задачи,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92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Сроки 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реал</w:t>
            </w:r>
            <w:r>
              <w:rPr>
                <w:b w:val="0"/>
                <w:bCs w:val="0"/>
              </w:rPr>
              <w:t xml:space="preserve">и</w:t>
            </w: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зации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меро</w:t>
            </w:r>
            <w:r>
              <w:rPr>
                <w:b w:val="0"/>
                <w:bCs w:val="0"/>
              </w:rPr>
              <w:t xml:space="preserve">- 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прия-тий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655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Испо</w:t>
            </w:r>
            <w:r>
              <w:rPr>
                <w:b w:val="0"/>
                <w:bCs w:val="0"/>
              </w:rPr>
              <w:t xml:space="preserve">л</w:t>
            </w: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нители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меро</w:t>
            </w:r>
            <w:r>
              <w:rPr>
                <w:b w:val="0"/>
                <w:bCs w:val="0"/>
              </w:rPr>
              <w:t xml:space="preserve">-  </w:t>
            </w:r>
            <w:r>
              <w:rPr>
                <w:b w:val="0"/>
                <w:bCs w:val="0"/>
              </w:rPr>
              <w:br/>
              <w:t xml:space="preserve">приятий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6802" w:type="dxa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Сумма расходов, рублей</w:t>
            </w:r>
            <w:r>
              <w:rPr>
                <w:rFonts w:ascii="Times New Roman" w:hAnsi="Times New Roman"/>
                <w:b w:val="0"/>
                <w:bCs w:val="0"/>
              </w:rPr>
            </w:r>
            <w:r>
              <w:rPr>
                <w:rFonts w:ascii="Times New Roman" w:hAnsi="Times New Roman"/>
                <w:b w:val="0"/>
                <w:bCs w:val="0"/>
              </w:rPr>
            </w:r>
          </w:p>
        </w:tc>
        <w:tc>
          <w:tcPr>
            <w:tcBorders/>
            <w:tcW w:w="156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Источник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 w:left="-108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финансирования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039"/>
        </w:trPr>
        <w:tc>
          <w:tcPr>
            <w:tcBorders/>
            <w:tcW w:w="4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65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2025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2026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2027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2028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14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2029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68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158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9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</w:t>
            </w:r>
            <w:r>
              <w:rPr>
                <w:b w:val="0"/>
                <w:bCs w:val="0"/>
              </w:rPr>
              <w:t xml:space="preserve">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9: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переселение граждан, проживающих </w:t>
              <w:br/>
              <w:t xml:space="preserve">в многоквартирных жилых домах </w:t>
              <w:br/>
              <w:t xml:space="preserve">по адресам: ул</w:t>
            </w:r>
            <w:r>
              <w:rPr>
                <w:b w:val="0"/>
                <w:bCs w:val="0"/>
              </w:rPr>
              <w:t xml:space="preserve">. О</w:t>
            </w:r>
            <w:r>
              <w:rPr>
                <w:b w:val="0"/>
                <w:bCs w:val="0"/>
              </w:rPr>
              <w:t xml:space="preserve">ктябрьская, 16, </w:t>
              <w:br/>
            </w:r>
            <w:r>
              <w:rPr>
                <w:b w:val="0"/>
                <w:bCs w:val="0"/>
              </w:rPr>
              <w:t xml:space="preserve">ул. Октябрьская, 18, ул. Деповская, 1, ул. Гагарина, 3, ул. Деповская, 34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42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9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2</w:t>
            </w:r>
            <w:r>
              <w:rPr>
                <w:b w:val="0"/>
                <w:bCs w:val="0"/>
              </w:rPr>
              <w:t xml:space="preserve">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10: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проведение оценки стоимости изымаемых жилых помещений </w:t>
              <w:br/>
              <w:t xml:space="preserve">по адресам: ул. Дорожная, 18, </w:t>
            </w:r>
            <w:r>
              <w:rPr>
                <w:b w:val="0"/>
                <w:bCs w:val="0"/>
              </w:rPr>
              <w:br/>
              <w:t xml:space="preserve">ул. Чкалова, 116а, ул. Черепановых, 18, ул. Белякова, 38, ул. Деповская, 11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Комитет по управлению имуществом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Администрации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158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9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3</w:t>
            </w:r>
            <w:r>
              <w:rPr>
                <w:b w:val="0"/>
                <w:bCs w:val="0"/>
              </w:rPr>
              <w:t xml:space="preserve">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11: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переселение граждан, проживающих </w:t>
              <w:br/>
              <w:t xml:space="preserve">в многоквартирных жилых домах </w:t>
              <w:br/>
              <w:t xml:space="preserve">по адресам: ул. Деповская, 15, </w:t>
              <w:br/>
              <w:t xml:space="preserve">ул. Дорожная, 18, ул. Чкалова, 116а, </w:t>
              <w:br/>
              <w:t xml:space="preserve">ул. Черепановых, 18, ул. Белякова, 38, ул. Деповская, 11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2028-2029 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15517924,20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19902017,80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946"/>
        </w:trPr>
        <w:tc>
          <w:tcPr>
            <w:tcBorders/>
            <w:tcW w:w="42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9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4</w:t>
            </w:r>
            <w:r>
              <w:rPr>
                <w:b w:val="0"/>
                <w:bCs w:val="0"/>
              </w:rPr>
              <w:t xml:space="preserve">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2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Мероприятие 12: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исполнение судебных решений по переселению граждан, проживающих в аварийных жилых домах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2025</w:t>
            </w:r>
            <w:r>
              <w:rPr>
                <w:b w:val="0"/>
                <w:bCs w:val="0"/>
                <w:lang w:val="ru-RU"/>
              </w:rPr>
              <w:t xml:space="preserve">-2027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5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30335100,00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  <w:highlight w:val="none"/>
              </w:rPr>
              <w:t xml:space="preserve">45029600,00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42521600,00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530"/>
        </w:trPr>
        <w:tc>
          <w:tcPr>
            <w:tcBorders/>
            <w:tcW w:w="426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9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5</w:t>
            </w:r>
            <w:r>
              <w:rPr>
                <w:b w:val="0"/>
                <w:bCs w:val="0"/>
              </w:rPr>
              <w:t xml:space="preserve">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362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ВСЕГО по этапам за 2025 - 2029 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9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2025-2029 годы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Комитет по управлению имуществом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Администрации города Новоалтайска,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города Новоалтайска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</w:rPr>
              <w:t xml:space="preserve">30335100</w:t>
            </w:r>
            <w:r>
              <w:rPr>
                <w:b w:val="0"/>
                <w:bCs w:val="0"/>
              </w:rPr>
              <w:t xml:space="preserve">,00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  <w:highlight w:val="none"/>
              </w:rPr>
              <w:t xml:space="preserve">45029600,00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</w:tcBorders>
            <w:tcW w:w="13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42521600,00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15517924,20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4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19902017,80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бюджет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widowControl w:val="false"/>
        <w:pBdr/>
        <w:spacing w:line="480" w:lineRule="auto"/>
        <w:ind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</w:r>
      <w:r/>
    </w:p>
    <w:sectPr>
      <w:footnotePr/>
      <w:endnotePr/>
      <w:type w:val="continuous"/>
      <w:pgSz w:h="11905" w:orient="landscape" w:w="16838"/>
      <w:pgMar w:top="426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right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926"/>
        </w:tabs>
        <w:spacing/>
        <w:ind w:hanging="360" w:left="926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1492"/>
        </w:tabs>
        <w:spacing/>
        <w:ind w:hanging="360" w:left="1492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643"/>
        </w:tabs>
        <w:spacing/>
        <w:ind w:hanging="360" w:left="643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69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1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3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5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7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9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1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3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5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tabs>
          <w:tab w:val="num" w:leader="none" w:pos="1209"/>
        </w:tabs>
        <w:spacing/>
        <w:ind w:hanging="360" w:left="1209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17"/>
  </w:num>
  <w:num w:numId="8">
    <w:abstractNumId w:val="9"/>
  </w:num>
  <w:num w:numId="9">
    <w:abstractNumId w:val="0"/>
  </w:num>
  <w:num w:numId="10">
    <w:abstractNumId w:val="11"/>
  </w:num>
  <w:num w:numId="11">
    <w:abstractNumId w:val="15"/>
  </w:num>
  <w:num w:numId="12">
    <w:abstractNumId w:val="2"/>
  </w:num>
  <w:num w:numId="13">
    <w:abstractNumId w:val="18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en-US" w:bidi="en-US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2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2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8">
    <w:name w:val="table of figures"/>
    <w:basedOn w:val="719"/>
    <w:next w:val="719"/>
    <w:uiPriority w:val="99"/>
    <w:unhideWhenUsed/>
    <w:pPr>
      <w:pBdr/>
      <w:spacing w:after="0" w:afterAutospacing="0"/>
      <w:ind/>
    </w:pPr>
  </w:style>
  <w:style w:type="paragraph" w:styleId="719" w:default="1">
    <w:name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imes New Roman" w:hAnsi="Times New Roman" w:eastAsia="Times New Roman"/>
      <w:sz w:val="20"/>
      <w:szCs w:val="20"/>
      <w:lang w:eastAsia="ru-RU" w:bidi="ar-SA"/>
    </w:rPr>
  </w:style>
  <w:style w:type="paragraph" w:styleId="720">
    <w:name w:val="Heading 1"/>
    <w:basedOn w:val="719"/>
    <w:next w:val="719"/>
    <w:link w:val="76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pPr>
      <w:keepNext w:val="true"/>
      <w:pBdr/>
      <w:spacing/>
      <w:ind/>
      <w:jc w:val="center"/>
      <w:outlineLvl w:val="1"/>
    </w:pPr>
    <w:rPr>
      <w:rFonts w:ascii="Times New Roman" w:hAnsi="Times New Roman" w:eastAsia="Times New Roman"/>
      <w:sz w:val="28"/>
      <w:lang w:eastAsia="ru-RU" w:bidi="ar-SA"/>
    </w:rPr>
  </w:style>
  <w:style w:type="paragraph" w:styleId="722">
    <w:name w:val="Heading 3"/>
    <w:basedOn w:val="719"/>
    <w:next w:val="719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4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link w:val="891"/>
    <w:pPr>
      <w:keepNext w:val="true"/>
      <w:pBdr/>
      <w:spacing w:after="120"/>
      <w:ind/>
      <w:jc w:val="center"/>
      <w:outlineLvl w:val="6"/>
    </w:pPr>
    <w:rPr>
      <w:rFonts w:ascii="Arial" w:hAnsi="Arial" w:eastAsia="Times New Roman"/>
      <w:b/>
      <w:sz w:val="24"/>
      <w:lang w:eastAsia="ru-RU" w:bidi="ar-SA"/>
    </w:rPr>
  </w:style>
  <w:style w:type="paragraph" w:styleId="727">
    <w:name w:val="Heading 8"/>
    <w:basedOn w:val="719"/>
    <w:next w:val="719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  <w:pPr>
      <w:pBdr/>
      <w:spacing/>
      <w:ind/>
    </w:pPr>
  </w:style>
  <w:style w:type="table" w:styleId="7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1" w:default="1">
    <w:name w:val="No List"/>
    <w:uiPriority w:val="99"/>
    <w:semiHidden/>
    <w:unhideWhenUsed/>
    <w:pPr>
      <w:pBdr/>
      <w:spacing/>
      <w:ind/>
    </w:pPr>
  </w:style>
  <w:style w:type="character" w:styleId="732" w:customStyle="1">
    <w:name w:val="Heading 1 Char"/>
    <w:basedOn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3" w:customStyle="1">
    <w:name w:val="Heading 3 Char"/>
    <w:basedOn w:val="72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8 Char"/>
    <w:basedOn w:val="72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9 Char"/>
    <w:basedOn w:val="7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39" w:customStyle="1">
    <w:name w:val="Caption Char"/>
    <w:uiPriority w:val="99"/>
    <w:pPr>
      <w:pBdr/>
      <w:spacing/>
      <w:ind/>
    </w:pPr>
  </w:style>
  <w:style w:type="paragraph" w:styleId="740">
    <w:name w:val="Footer"/>
    <w:basedOn w:val="719"/>
    <w:link w:val="79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41">
    <w:name w:val="Caption"/>
    <w:basedOn w:val="719"/>
    <w:next w:val="7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2" w:customStyle="1">
    <w:name w:val="Endnote Text Char"/>
    <w:uiPriority w:val="99"/>
    <w:pPr>
      <w:pBdr/>
      <w:spacing/>
      <w:ind/>
    </w:pPr>
    <w:rPr>
      <w:sz w:val="20"/>
    </w:rPr>
  </w:style>
  <w:style w:type="table" w:styleId="743" w:customStyle="1">
    <w:name w:val="List Table 7 Colorful - Accent 1"/>
    <w:basedOn w:val="730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4">
    <w:name w:val="endnote text"/>
    <w:basedOn w:val="719"/>
    <w:link w:val="745"/>
    <w:uiPriority w:val="99"/>
    <w:semiHidden/>
    <w:unhideWhenUsed/>
    <w:pPr>
      <w:pBdr/>
      <w:spacing/>
      <w:ind/>
    </w:pPr>
  </w:style>
  <w:style w:type="character" w:styleId="745" w:customStyle="1">
    <w:name w:val="Текст концевой сноски Знак"/>
    <w:link w:val="744"/>
    <w:uiPriority w:val="99"/>
    <w:pPr>
      <w:pBdr/>
      <w:spacing/>
      <w:ind/>
    </w:pPr>
    <w:rPr>
      <w:sz w:val="20"/>
    </w:rPr>
  </w:style>
  <w:style w:type="character" w:styleId="746">
    <w:name w:val="endnote reference"/>
    <w:basedOn w:val="729"/>
    <w:uiPriority w:val="99"/>
    <w:semiHidden/>
    <w:unhideWhenUsed/>
    <w:pPr>
      <w:pBdr/>
      <w:spacing/>
      <w:ind/>
    </w:pPr>
    <w:rPr>
      <w:vertAlign w:val="superscript"/>
    </w:rPr>
  </w:style>
  <w:style w:type="character" w:styleId="747" w:customStyle="1">
    <w:name w:val="Заголовок 4 Знак1"/>
    <w:basedOn w:val="729"/>
    <w:link w:val="72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1"/>
    <w:basedOn w:val="729"/>
    <w:link w:val="72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1"/>
    <w:basedOn w:val="729"/>
    <w:link w:val="72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7 Char"/>
    <w:basedOn w:val="72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1"/>
    <w:basedOn w:val="729"/>
    <w:link w:val="7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1"/>
    <w:basedOn w:val="729"/>
    <w:link w:val="72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3" w:customStyle="1">
    <w:name w:val="Title Char"/>
    <w:basedOn w:val="729"/>
    <w:uiPriority w:val="10"/>
    <w:pPr>
      <w:pBdr/>
      <w:spacing/>
      <w:ind/>
    </w:pPr>
    <w:rPr>
      <w:sz w:val="48"/>
      <w:szCs w:val="48"/>
    </w:rPr>
  </w:style>
  <w:style w:type="character" w:styleId="754" w:customStyle="1">
    <w:name w:val="Subtitle Char"/>
    <w:basedOn w:val="729"/>
    <w:uiPriority w:val="11"/>
    <w:pPr>
      <w:pBdr/>
      <w:spacing/>
      <w:ind/>
    </w:pPr>
    <w:rPr>
      <w:sz w:val="24"/>
      <w:szCs w:val="24"/>
    </w:rPr>
  </w:style>
  <w:style w:type="character" w:styleId="755" w:customStyle="1">
    <w:name w:val="Quote Char"/>
    <w:uiPriority w:val="29"/>
    <w:pPr>
      <w:pBdr/>
      <w:spacing/>
      <w:ind/>
    </w:pPr>
    <w:rPr>
      <w:i/>
    </w:rPr>
  </w:style>
  <w:style w:type="character" w:styleId="756" w:customStyle="1">
    <w:name w:val="Intense Quote Char"/>
    <w:uiPriority w:val="30"/>
    <w:pPr>
      <w:pBdr/>
      <w:spacing/>
      <w:ind/>
    </w:pPr>
    <w:rPr>
      <w:i/>
    </w:rPr>
  </w:style>
  <w:style w:type="character" w:styleId="757" w:customStyle="1">
    <w:name w:val="Footnote Text Char"/>
    <w:uiPriority w:val="99"/>
    <w:pPr>
      <w:pBdr/>
      <w:spacing/>
      <w:ind/>
    </w:pPr>
    <w:rPr>
      <w:sz w:val="18"/>
    </w:rPr>
  </w:style>
  <w:style w:type="paragraph" w:styleId="758" w:customStyle="1">
    <w:name w:val="Заголовок 11"/>
    <w:basedOn w:val="719"/>
    <w:next w:val="719"/>
    <w:link w:val="936"/>
    <w:pPr>
      <w:keepNext w:val="true"/>
      <w:pBdr/>
      <w:spacing/>
      <w:ind/>
      <w:outlineLvl w:val="0"/>
    </w:pPr>
    <w:rPr>
      <w:sz w:val="28"/>
      <w:lang w:val="en-US"/>
    </w:rPr>
  </w:style>
  <w:style w:type="paragraph" w:styleId="759" w:customStyle="1">
    <w:name w:val="Заголовок 21"/>
    <w:basedOn w:val="719"/>
    <w:next w:val="719"/>
    <w:link w:val="937"/>
    <w:pPr>
      <w:keepNext w:val="true"/>
      <w:pBdr/>
      <w:spacing/>
      <w:ind w:firstLine="250" w:left="2160"/>
      <w:outlineLvl w:val="1"/>
    </w:pPr>
    <w:rPr>
      <w:b/>
      <w:sz w:val="28"/>
      <w:lang w:val="en-US"/>
    </w:rPr>
  </w:style>
  <w:style w:type="paragraph" w:styleId="760" w:customStyle="1">
    <w:name w:val="Заголовок 31"/>
    <w:basedOn w:val="719"/>
    <w:next w:val="719"/>
    <w:link w:val="938"/>
    <w:pPr>
      <w:keepNext w:val="true"/>
      <w:pBdr/>
      <w:spacing/>
      <w:ind/>
      <w:jc w:val="center"/>
      <w:outlineLvl w:val="2"/>
    </w:pPr>
    <w:rPr>
      <w:b/>
      <w:sz w:val="32"/>
      <w:lang w:val="en-US"/>
    </w:rPr>
  </w:style>
  <w:style w:type="paragraph" w:styleId="761" w:customStyle="1">
    <w:name w:val="Заголовок 41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2" w:customStyle="1">
    <w:name w:val="Заголовок 51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Заголовок 61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64" w:customStyle="1">
    <w:name w:val="Заголовок 71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65" w:customStyle="1">
    <w:name w:val="Заголовок 81"/>
    <w:link w:val="77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66" w:customStyle="1">
    <w:name w:val="Заголовок 91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1 Знак1"/>
    <w:link w:val="72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9" w:customStyle="1">
    <w:name w:val="Заголовок 3 Знак1"/>
    <w:link w:val="72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uiPriority w:val="34"/>
    <w:qFormat/>
    <w:pPr>
      <w:pBdr/>
      <w:spacing/>
      <w:ind w:left="720"/>
      <w:contextualSpacing w:val="true"/>
    </w:pPr>
  </w:style>
  <w:style w:type="paragraph" w:styleId="777">
    <w:name w:val="No Spacing"/>
    <w:uiPriority w:val="1"/>
    <w:qFormat/>
    <w:pPr>
      <w:pBdr/>
      <w:spacing/>
      <w:ind/>
    </w:pPr>
  </w:style>
  <w:style w:type="paragraph" w:styleId="778">
    <w:name w:val="Title"/>
    <w:link w:val="7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9" w:customStyle="1">
    <w:name w:val="Название Знак"/>
    <w:link w:val="778"/>
    <w:uiPriority w:val="10"/>
    <w:pPr>
      <w:pBdr/>
      <w:spacing/>
      <w:ind/>
    </w:pPr>
    <w:rPr>
      <w:sz w:val="48"/>
      <w:szCs w:val="48"/>
    </w:rPr>
  </w:style>
  <w:style w:type="paragraph" w:styleId="780">
    <w:name w:val="Subtitle"/>
    <w:link w:val="7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pPr>
      <w:pBdr/>
      <w:spacing/>
      <w:ind/>
    </w:pPr>
    <w:rPr>
      <w:sz w:val="24"/>
      <w:szCs w:val="24"/>
    </w:rPr>
  </w:style>
  <w:style w:type="paragraph" w:styleId="782">
    <w:name w:val="Quote"/>
    <w:link w:val="783"/>
    <w:uiPriority w:val="29"/>
    <w:qFormat/>
    <w:pPr>
      <w:pBdr/>
      <w:spacing/>
      <w:ind w:right="720" w:left="720"/>
    </w:pPr>
    <w:rPr>
      <w:i/>
    </w:rPr>
  </w:style>
  <w:style w:type="character" w:styleId="783" w:customStyle="1">
    <w:name w:val="Цитата 2 Знак"/>
    <w:link w:val="782"/>
    <w:uiPriority w:val="29"/>
    <w:pPr>
      <w:pBdr/>
      <w:spacing/>
      <w:ind/>
    </w:pPr>
    <w:rPr>
      <w:i/>
    </w:rPr>
  </w:style>
  <w:style w:type="paragraph" w:styleId="784">
    <w:name w:val="Intense Quote"/>
    <w:link w:val="7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character" w:styleId="785" w:customStyle="1">
    <w:name w:val="Выделенная цитата Знак"/>
    <w:link w:val="784"/>
    <w:uiPriority w:val="30"/>
    <w:pPr>
      <w:pBdr/>
      <w:spacing/>
      <w:ind/>
    </w:pPr>
    <w:rPr>
      <w:i/>
    </w:rPr>
  </w:style>
  <w:style w:type="paragraph" w:styleId="786" w:customStyle="1">
    <w:name w:val="Верхний колонтитул1"/>
    <w:basedOn w:val="719"/>
    <w:link w:val="941"/>
    <w:semiHidden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87" w:customStyle="1">
    <w:name w:val="Header Char"/>
    <w:uiPriority w:val="99"/>
    <w:pPr>
      <w:pBdr/>
      <w:spacing/>
      <w:ind/>
    </w:pPr>
  </w:style>
  <w:style w:type="paragraph" w:styleId="788" w:customStyle="1">
    <w:name w:val="Нижний колонтитул1"/>
    <w:basedOn w:val="719"/>
    <w:link w:val="942"/>
    <w:semiHidden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89" w:customStyle="1">
    <w:name w:val="Footer Char"/>
    <w:uiPriority w:val="99"/>
    <w:pPr>
      <w:pBdr/>
      <w:spacing/>
      <w:ind/>
    </w:pPr>
  </w:style>
  <w:style w:type="paragraph" w:styleId="790" w:customStyle="1">
    <w:name w:val="Название объекта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1" w:customStyle="1">
    <w:name w:val="Нижний колонтитул Знак1"/>
    <w:link w:val="740"/>
    <w:uiPriority w:val="99"/>
    <w:pPr>
      <w:pBdr/>
      <w:spacing/>
      <w:ind/>
    </w:pPr>
  </w:style>
  <w:style w:type="table" w:styleId="792">
    <w:name w:val="Table Grid"/>
    <w:basedOn w:val="730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Заголовок 7 Знак1"/>
    <w:link w:val="72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1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2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3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4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5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6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8">
    <w:name w:val="Hyperlink"/>
    <w:pPr>
      <w:pBdr/>
      <w:spacing/>
      <w:ind/>
    </w:pPr>
    <w:rPr>
      <w:color w:val="0000ff"/>
      <w:u w:val="single"/>
    </w:rPr>
  </w:style>
  <w:style w:type="paragraph" w:styleId="919">
    <w:name w:val="footnote text"/>
    <w:link w:val="920"/>
    <w:uiPriority w:val="99"/>
    <w:semiHidden/>
    <w:unhideWhenUsed/>
    <w:pPr>
      <w:pBdr/>
      <w:spacing w:after="40"/>
      <w:ind/>
    </w:pPr>
    <w:rPr>
      <w:sz w:val="18"/>
    </w:rPr>
  </w:style>
  <w:style w:type="character" w:styleId="920" w:customStyle="1">
    <w:name w:val="Текст сноски Знак"/>
    <w:link w:val="919"/>
    <w:uiPriority w:val="99"/>
    <w:pPr>
      <w:pBdr/>
      <w:spacing/>
      <w:ind/>
    </w:pPr>
    <w:rPr>
      <w:sz w:val="18"/>
    </w:rPr>
  </w:style>
  <w:style w:type="character" w:styleId="92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22">
    <w:name w:val="toc 1"/>
    <w:uiPriority w:val="39"/>
    <w:unhideWhenUsed/>
    <w:pPr>
      <w:pBdr/>
      <w:spacing w:after="57"/>
      <w:ind/>
    </w:pPr>
  </w:style>
  <w:style w:type="paragraph" w:styleId="923">
    <w:name w:val="toc 2"/>
    <w:uiPriority w:val="39"/>
    <w:unhideWhenUsed/>
    <w:pPr>
      <w:pBdr/>
      <w:spacing w:after="57"/>
      <w:ind w:left="283"/>
    </w:pPr>
  </w:style>
  <w:style w:type="paragraph" w:styleId="924">
    <w:name w:val="toc 3"/>
    <w:uiPriority w:val="39"/>
    <w:unhideWhenUsed/>
    <w:pPr>
      <w:pBdr/>
      <w:spacing w:after="57"/>
      <w:ind w:left="567"/>
    </w:pPr>
  </w:style>
  <w:style w:type="paragraph" w:styleId="925">
    <w:name w:val="toc 4"/>
    <w:uiPriority w:val="39"/>
    <w:unhideWhenUsed/>
    <w:pPr>
      <w:pBdr/>
      <w:spacing w:after="57"/>
      <w:ind w:left="850"/>
    </w:pPr>
  </w:style>
  <w:style w:type="paragraph" w:styleId="926">
    <w:name w:val="toc 5"/>
    <w:uiPriority w:val="39"/>
    <w:unhideWhenUsed/>
    <w:pPr>
      <w:pBdr/>
      <w:spacing w:after="57"/>
      <w:ind w:left="1134"/>
    </w:pPr>
  </w:style>
  <w:style w:type="paragraph" w:styleId="927">
    <w:name w:val="toc 6"/>
    <w:uiPriority w:val="39"/>
    <w:unhideWhenUsed/>
    <w:pPr>
      <w:pBdr/>
      <w:spacing w:after="57"/>
      <w:ind w:left="1417"/>
    </w:pPr>
  </w:style>
  <w:style w:type="paragraph" w:styleId="928">
    <w:name w:val="toc 7"/>
    <w:uiPriority w:val="39"/>
    <w:unhideWhenUsed/>
    <w:pPr>
      <w:pBdr/>
      <w:spacing w:after="57"/>
      <w:ind w:left="1701"/>
    </w:pPr>
  </w:style>
  <w:style w:type="paragraph" w:styleId="929">
    <w:name w:val="toc 8"/>
    <w:uiPriority w:val="39"/>
    <w:unhideWhenUsed/>
    <w:pPr>
      <w:pBdr/>
      <w:spacing w:after="57"/>
      <w:ind w:left="1984"/>
    </w:pPr>
  </w:style>
  <w:style w:type="paragraph" w:styleId="930">
    <w:name w:val="toc 9"/>
    <w:uiPriority w:val="39"/>
    <w:unhideWhenUsed/>
    <w:pPr>
      <w:pBdr/>
      <w:spacing w:after="57"/>
      <w:ind w:left="2268"/>
    </w:pPr>
  </w:style>
  <w:style w:type="paragraph" w:styleId="931">
    <w:name w:val="TOC Heading"/>
    <w:uiPriority w:val="39"/>
    <w:unhideWhenUsed/>
    <w:pPr>
      <w:pBdr/>
      <w:spacing/>
      <w:ind/>
    </w:pPr>
  </w:style>
  <w:style w:type="paragraph" w:styleId="932" w:customStyle="1">
    <w:name w:val="ConsPlusNormal"/>
    <w:pPr>
      <w:widowControl w:val="false"/>
      <w:pBdr/>
      <w:spacing/>
      <w:ind/>
    </w:pPr>
    <w:rPr>
      <w:rFonts w:eastAsia="Times New Roman"/>
      <w:lang w:eastAsia="ru-RU" w:bidi="ar-SA"/>
    </w:rPr>
  </w:style>
  <w:style w:type="paragraph" w:styleId="933" w:customStyle="1">
    <w:name w:val="ConsPlusNonformat"/>
    <w:pPr>
      <w:widowControl w:val="false"/>
      <w:pBdr/>
      <w:spacing/>
      <w:ind/>
    </w:pPr>
    <w:rPr>
      <w:rFonts w:ascii="Courier New" w:hAnsi="Courier New" w:eastAsia="Times New Roman"/>
      <w:lang w:eastAsia="ru-RU" w:bidi="ar-SA"/>
    </w:rPr>
  </w:style>
  <w:style w:type="paragraph" w:styleId="934" w:customStyle="1">
    <w:name w:val="ConsPlusTitle"/>
    <w:pPr>
      <w:widowControl w:val="false"/>
      <w:pBdr/>
      <w:spacing/>
      <w:ind/>
    </w:pPr>
    <w:rPr>
      <w:rFonts w:eastAsia="Times New Roman"/>
      <w:b/>
      <w:bCs/>
      <w:lang w:eastAsia="ru-RU" w:bidi="ar-SA"/>
    </w:rPr>
  </w:style>
  <w:style w:type="paragraph" w:styleId="935" w:customStyle="1">
    <w:name w:val="ConsPlusCell"/>
    <w:pPr>
      <w:widowControl w:val="false"/>
      <w:pBdr/>
      <w:spacing/>
      <w:ind/>
    </w:pPr>
    <w:rPr>
      <w:rFonts w:eastAsia="Times New Roman"/>
      <w:lang w:eastAsia="ru-RU" w:bidi="ar-SA"/>
    </w:rPr>
  </w:style>
  <w:style w:type="character" w:styleId="936" w:customStyle="1">
    <w:name w:val="Заголовок 1 Знак"/>
    <w:link w:val="758"/>
    <w:pPr>
      <w:pBdr/>
      <w:spacing/>
      <w:ind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37" w:customStyle="1">
    <w:name w:val="Заголовок 2 Знак"/>
    <w:link w:val="759"/>
    <w:pPr>
      <w:pBdr/>
      <w:spacing/>
      <w:ind/>
    </w:pPr>
    <w:rPr>
      <w:rFonts w:ascii="Times New Roman" w:hAnsi="Times New Roman" w:eastAsia="Times New Roman"/>
      <w:b/>
      <w:sz w:val="28"/>
      <w:szCs w:val="20"/>
      <w:lang w:eastAsia="ru-RU"/>
    </w:rPr>
  </w:style>
  <w:style w:type="character" w:styleId="938" w:customStyle="1">
    <w:name w:val="Заголовок 3 Знак"/>
    <w:link w:val="760"/>
    <w:pPr>
      <w:pBdr/>
      <w:spacing/>
      <w:ind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939">
    <w:name w:val="Balloon Text"/>
    <w:basedOn w:val="719"/>
    <w:link w:val="940"/>
    <w:semiHidden/>
    <w:pPr>
      <w:pBdr/>
      <w:spacing/>
      <w:ind/>
    </w:pPr>
    <w:rPr>
      <w:rFonts w:ascii="Tahoma" w:hAnsi="Tahoma"/>
      <w:sz w:val="16"/>
      <w:szCs w:val="16"/>
      <w:lang w:val="en-US"/>
    </w:rPr>
  </w:style>
  <w:style w:type="character" w:styleId="940" w:customStyle="1">
    <w:name w:val="Текст выноски Знак"/>
    <w:link w:val="93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41" w:customStyle="1">
    <w:name w:val="Верхний колонтитул Знак"/>
    <w:basedOn w:val="729"/>
    <w:link w:val="786"/>
    <w:semiHidden/>
    <w:pPr>
      <w:pBdr/>
      <w:spacing/>
      <w:ind/>
    </w:pPr>
  </w:style>
  <w:style w:type="character" w:styleId="942" w:customStyle="1">
    <w:name w:val="Нижний колонтитул Знак"/>
    <w:basedOn w:val="729"/>
    <w:link w:val="788"/>
    <w:semiHidden/>
    <w:pPr>
      <w:pBdr/>
      <w:spacing/>
      <w:ind/>
    </w:pPr>
  </w:style>
  <w:style w:type="paragraph" w:styleId="943">
    <w:name w:val="Body Text"/>
    <w:basedOn w:val="719"/>
    <w:link w:val="944"/>
    <w:pPr>
      <w:pBdr/>
      <w:spacing/>
      <w:ind/>
      <w:jc w:val="center"/>
    </w:pPr>
    <w:rPr>
      <w:b/>
      <w:sz w:val="28"/>
      <w:lang w:val="en-US"/>
    </w:rPr>
  </w:style>
  <w:style w:type="character" w:styleId="944" w:customStyle="1">
    <w:name w:val="Основной текст Знак"/>
    <w:link w:val="943"/>
    <w:pPr>
      <w:pBdr/>
      <w:spacing/>
      <w:ind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945">
    <w:name w:val="Body Text 2"/>
    <w:basedOn w:val="719"/>
    <w:link w:val="946"/>
    <w:pPr>
      <w:pBdr/>
      <w:spacing/>
      <w:ind/>
    </w:pPr>
    <w:rPr>
      <w:sz w:val="28"/>
      <w:lang w:val="en-US"/>
    </w:rPr>
  </w:style>
  <w:style w:type="character" w:styleId="946" w:customStyle="1">
    <w:name w:val="Основной текст 2 Знак"/>
    <w:link w:val="945"/>
    <w:pPr>
      <w:pBdr/>
      <w:spacing/>
      <w:ind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47" w:customStyle="1">
    <w:name w:val="Знак Знак Знак Знак Знак Знак Знак Знак Знак Знак Знак Знак Знак Знак Знак Знак"/>
    <w:basedOn w:val="719"/>
    <w:pPr>
      <w:pBdr/>
      <w:spacing/>
      <w:ind/>
    </w:pPr>
    <w:rPr>
      <w:rFonts w:ascii="Verdana" w:hAnsi="Verdana"/>
      <w:lang w:val="en-US"/>
    </w:rPr>
  </w:style>
  <w:style w:type="paragraph" w:styleId="948" w:customStyle="1">
    <w:name w:val="Style4"/>
    <w:basedOn w:val="719"/>
    <w:pPr>
      <w:widowControl w:val="false"/>
      <w:pBdr/>
      <w:spacing w:line="322" w:lineRule="exact"/>
      <w:ind/>
    </w:pPr>
    <w:rPr>
      <w:sz w:val="24"/>
      <w:szCs w:val="24"/>
    </w:rPr>
  </w:style>
  <w:style w:type="character" w:styleId="949" w:customStyle="1">
    <w:name w:val="Font Style11"/>
    <w:pPr>
      <w:pBdr/>
      <w:spacing/>
      <w:ind/>
    </w:pPr>
    <w:rPr>
      <w:rFonts w:ascii="Times New Roman" w:hAnsi="Times New Roman"/>
      <w:sz w:val="26"/>
      <w:szCs w:val="26"/>
    </w:rPr>
  </w:style>
  <w:style w:type="paragraph" w:styleId="950" w:customStyle="1">
    <w:name w:val="Знак"/>
    <w:basedOn w:val="719"/>
    <w:pPr>
      <w:pBdr/>
      <w:spacing/>
      <w:ind/>
    </w:pPr>
    <w:rPr>
      <w:rFonts w:ascii="Verdana" w:hAnsi="Verdana"/>
      <w:lang w:val="en-US"/>
    </w:rPr>
  </w:style>
  <w:style w:type="paragraph" w:styleId="951" w:customStyle="1">
    <w:name w:val="заголовок 6"/>
    <w:basedOn w:val="719"/>
    <w:next w:val="719"/>
    <w:pPr>
      <w:keepNext w:val="true"/>
      <w:pBdr/>
      <w:spacing/>
      <w:ind/>
    </w:pPr>
    <w:rPr>
      <w:sz w:val="28"/>
      <w:szCs w:val="28"/>
    </w:rPr>
  </w:style>
  <w:style w:type="paragraph" w:styleId="952">
    <w:name w:val="Normal (Web)"/>
    <w:basedOn w:val="719"/>
    <w:pPr>
      <w:pBdr/>
      <w:spacing/>
      <w:ind/>
    </w:pPr>
    <w:rPr>
      <w:sz w:val="24"/>
      <w:szCs w:val="24"/>
    </w:rPr>
  </w:style>
  <w:style w:type="paragraph" w:styleId="953">
    <w:name w:val="Header"/>
    <w:pPr>
      <w:pBdr/>
      <w:tabs>
        <w:tab w:val="center" w:leader="none" w:pos="4153"/>
        <w:tab w:val="right" w:leader="none" w:pos="8306"/>
      </w:tabs>
      <w:spacing/>
      <w:ind/>
    </w:pPr>
    <w:rPr>
      <w:rFonts w:ascii="Times New Roman" w:hAnsi="Times New Roman" w:eastAsia="Times New Roman"/>
      <w:lang w:eastAsia="ru-RU" w:bidi="ar-SA"/>
    </w:rPr>
  </w:style>
  <w:style w:type="paragraph" w:styleId="954">
    <w:name w:val="Обычный"/>
    <w:next w:val="760"/>
    <w:link w:val="760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D5AF78E5FD66D377264BDD2873BD27A45A08F344015AC492324A3C6178C36F8A0C719DB379FEE11AD90FC93C81C91DC755AECADE55sA31J" TargetMode="External"/><Relationship Id="rId12" Type="http://schemas.openxmlformats.org/officeDocument/2006/relationships/hyperlink" Target="consultantplus://offline/ref=D5AF78E5FD66D377264BDD2873BD27A45A0BF7440655C492324A3C6178C36F8A1E71C5BB7FFAF44E80559E3182sC33J" TargetMode="External"/><Relationship Id="rId13" Type="http://schemas.openxmlformats.org/officeDocument/2006/relationships/hyperlink" Target="consultantplus://offline/ref=D5AF78E5FD66D377264BDD2873BD27A45A08F344015AC492324A3C6178C36F8A0C719DB77DF9E84A8F40C860C79F0EC55EAEC8D64AAA7325s736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127</cp:revision>
  <dcterms:created xsi:type="dcterms:W3CDTF">2020-12-22T05:35:00Z</dcterms:created>
  <dcterms:modified xsi:type="dcterms:W3CDTF">2025-04-01T04:35:39Z</dcterms:modified>
</cp:coreProperties>
</file>