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970"/>
        <w:pBdr/>
        <w:spacing/>
        <w:ind/>
        <w:jc w:val="center"/>
        <w:rPr>
          <w:b/>
          <w:lang w:eastAsia="ru-RU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r>
        <w:rPr>
          <w:b/>
          <w:lang w:eastAsia="ru-RU"/>
        </w:rPr>
      </w:r>
      <w:r>
        <w:rPr>
          <w:b/>
          <w:lang w:eastAsia="ru-RU"/>
        </w:rPr>
      </w:r>
    </w:p>
    <w:p>
      <w:pPr>
        <w:pStyle w:val="970"/>
        <w:pBdr/>
        <w:spacing/>
        <w:ind/>
        <w:jc w:val="center"/>
        <w:rPr>
          <w:lang w:val="en-US" w:eastAsia="ru-RU"/>
        </w:rPr>
      </w:pPr>
      <w:r>
        <w:rPr>
          <w:lang w:val="en-US" w:eastAsia="ru-RU"/>
        </w:rPr>
      </w:r>
      <w:r>
        <w:rPr>
          <w:lang w:val="en-US" w:eastAsia="ru-RU"/>
        </w:rPr>
      </w:r>
      <w:r>
        <w:rPr>
          <w:lang w:val="en-US" w:eastAsia="ru-RU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70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b/>
                <w:spacing w:val="20"/>
                <w:sz w:val="28"/>
                <w:szCs w:val="28"/>
                <w:lang w:eastAsia="ru-RU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  <w:lang w:eastAsia="ru-RU"/>
              </w:rPr>
            </w:r>
            <w:r>
              <w:rPr>
                <w:b/>
                <w:spacing w:val="20"/>
                <w:sz w:val="28"/>
                <w:szCs w:val="28"/>
                <w:lang w:eastAsia="ru-RU"/>
              </w:rPr>
            </w:r>
          </w:p>
          <w:p>
            <w:pPr>
              <w:pStyle w:val="970"/>
              <w:pBdr/>
              <w:spacing/>
              <w:ind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АЛТАЙСКОГО КРАЯ</w:t>
            </w:r>
            <w:r>
              <w:rPr>
                <w:b/>
                <w:sz w:val="28"/>
                <w:szCs w:val="28"/>
                <w:lang w:eastAsia="ru-RU"/>
              </w:rPr>
            </w:r>
            <w:r>
              <w:rPr>
                <w:b/>
                <w:sz w:val="28"/>
                <w:szCs w:val="28"/>
                <w:lang w:eastAsia="ru-RU"/>
              </w:rPr>
            </w:r>
          </w:p>
          <w:p>
            <w:pPr>
              <w:pStyle w:val="970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  <w:p>
            <w:pPr>
              <w:pStyle w:val="970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27.03.2025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sz w:val="28"/>
                <w:szCs w:val="28"/>
                <w:lang w:eastAsia="ru-RU"/>
              </w:rPr>
              <w:t xml:space="preserve">  №</w:t>
            </w:r>
            <w:r>
              <w:rPr>
                <w:sz w:val="28"/>
                <w:szCs w:val="28"/>
                <w:lang w:eastAsia="ru-RU"/>
              </w:rPr>
              <w:t xml:space="preserve"> 613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970"/>
              <w:pBdr/>
              <w:spacing/>
              <w: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 Новоалтайск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970"/>
        <w:pBdr/>
        <w:spacing/>
        <w: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970"/>
        <w:pBdr/>
        <w:spacing/>
        <w: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970"/>
        <w:pBdr/>
        <w:spacing/>
        <w:ind/>
        <w:rPr>
          <w:sz w:val="28"/>
        </w:rPr>
      </w:pPr>
      <w:r>
        <w:rPr>
          <w:sz w:val="28"/>
        </w:rPr>
        <w:t xml:space="preserve">О внесении изменения в постановление</w:t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spacing/>
        <w:ind/>
        <w:rPr>
          <w:sz w:val="28"/>
        </w:rPr>
      </w:pPr>
      <w:r>
        <w:rPr>
          <w:sz w:val="28"/>
        </w:rPr>
        <w:t xml:space="preserve">Администрации   города  </w:t>
      </w:r>
      <w:r>
        <w:rPr>
          <w:sz w:val="28"/>
        </w:rPr>
        <w:t xml:space="preserve"> Новоалтайска </w:t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spacing/>
        <w:ind/>
        <w:rPr>
          <w:sz w:val="28"/>
        </w:rPr>
      </w:pPr>
      <w:r>
        <w:rPr>
          <w:sz w:val="28"/>
        </w:rPr>
        <w:t xml:space="preserve"> от </w:t>
      </w:r>
      <w:r>
        <w:rPr>
          <w:sz w:val="28"/>
        </w:rPr>
        <w:t xml:space="preserve"> </w:t>
      </w:r>
      <w:r>
        <w:rPr>
          <w:sz w:val="28"/>
        </w:rPr>
        <w:t xml:space="preserve">23</w:t>
      </w:r>
      <w:r>
        <w:rPr>
          <w:sz w:val="28"/>
        </w:rPr>
        <w:t xml:space="preserve">.12.20</w:t>
      </w:r>
      <w:r>
        <w:rPr>
          <w:sz w:val="28"/>
        </w:rPr>
        <w:t xml:space="preserve">20</w:t>
      </w:r>
      <w:r>
        <w:rPr>
          <w:sz w:val="28"/>
        </w:rPr>
        <w:t xml:space="preserve"> № </w:t>
      </w:r>
      <w:r>
        <w:rPr>
          <w:sz w:val="28"/>
        </w:rPr>
        <w:t xml:space="preserve">1991</w:t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spacing/>
        <w:ind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spacing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городского округа город Новоалтайск Алтайского края, решением Новоалтайского городского Собрания депутатов</w:t>
      </w:r>
      <w:r>
        <w:rPr>
          <w:sz w:val="28"/>
          <w:szCs w:val="28"/>
          <w:highlight w:val="none"/>
        </w:rPr>
        <w:t xml:space="preserve"> от </w:t>
      </w:r>
      <w:r>
        <w:rPr>
          <w:sz w:val="28"/>
          <w:szCs w:val="28"/>
          <w:highlight w:val="none"/>
        </w:rPr>
        <w:t xml:space="preserve">17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12</w:t>
      </w:r>
      <w:r>
        <w:rPr>
          <w:sz w:val="28"/>
          <w:szCs w:val="28"/>
          <w:highlight w:val="none"/>
        </w:rPr>
        <w:t xml:space="preserve">.20</w:t>
      </w:r>
      <w:r>
        <w:rPr>
          <w:sz w:val="28"/>
          <w:szCs w:val="28"/>
          <w:highlight w:val="none"/>
        </w:rPr>
        <w:t xml:space="preserve">24</w:t>
      </w:r>
      <w:r>
        <w:rPr>
          <w:sz w:val="28"/>
          <w:szCs w:val="28"/>
          <w:highlight w:val="none"/>
        </w:rPr>
        <w:t xml:space="preserve"> № 28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«О бюджете городского округа города Новоалтайска на 2025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2027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left" w:leader="none" w:pos="993"/>
        </w:tabs>
        <w:spacing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</w:t>
      </w:r>
      <w:r>
        <w:rPr>
          <w:sz w:val="28"/>
        </w:rPr>
        <w:t xml:space="preserve">ие Администрации города </w:t>
      </w:r>
      <w:r>
        <w:rPr>
          <w:sz w:val="28"/>
        </w:rPr>
        <w:t xml:space="preserve">Новоалтайска Алтайского края от </w:t>
      </w:r>
      <w:r>
        <w:rPr>
          <w:sz w:val="28"/>
        </w:rPr>
        <w:t xml:space="preserve">23</w:t>
      </w:r>
      <w:r>
        <w:rPr>
          <w:sz w:val="28"/>
        </w:rPr>
        <w:t xml:space="preserve">.12.20</w:t>
      </w:r>
      <w:r>
        <w:rPr>
          <w:sz w:val="28"/>
        </w:rPr>
        <w:t xml:space="preserve">20</w:t>
      </w:r>
      <w:r>
        <w:rPr>
          <w:sz w:val="28"/>
        </w:rPr>
        <w:t xml:space="preserve">  № </w:t>
      </w:r>
      <w:r>
        <w:rPr>
          <w:sz w:val="28"/>
        </w:rPr>
        <w:t xml:space="preserve">1991</w:t>
      </w:r>
      <w:r>
        <w:rPr>
          <w:sz w:val="28"/>
        </w:rPr>
        <w:t xml:space="preserve"> «Об утверждении муниципальной программы «Профилактика преступлений и иных правонарушений в городе Новоалтайске на 20</w:t>
      </w:r>
      <w:r>
        <w:rPr>
          <w:sz w:val="28"/>
        </w:rPr>
        <w:t xml:space="preserve">21</w:t>
      </w:r>
      <w:r>
        <w:rPr>
          <w:sz w:val="28"/>
        </w:rPr>
        <w:t xml:space="preserve">- 20</w:t>
      </w:r>
      <w:r>
        <w:rPr>
          <w:sz w:val="28"/>
        </w:rPr>
        <w:t xml:space="preserve">25</w:t>
      </w:r>
      <w:r>
        <w:rPr>
          <w:sz w:val="28"/>
        </w:rPr>
        <w:t xml:space="preserve"> годы» следующее изменение:</w:t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tabs>
          <w:tab w:val="left" w:leader="none" w:pos="993"/>
        </w:tabs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приложение к постановлению изложить в новой редакции,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pBdr/>
        <w:tabs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Признать утратившим силу постановление Администрации города Новоалтайска  27.03.2024 № 660 «О внесении изменения в постановление Администрации города Новоалтайска от 23.12.2020 № 1991».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left" w:leader="none" w:pos="709"/>
          <w:tab w:val="left" w:leader="none" w:pos="993"/>
        </w:tabs>
        <w:spacing/>
        <w:ind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Настоящее постановление опубликовать в Вестнике муниципального образования города Новоалтайска</w:t>
      </w:r>
      <w:r>
        <w:rPr>
          <w:sz w:val="28"/>
        </w:rPr>
        <w:t xml:space="preserve"> и разместить на официальном сайте города Новоалтайска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tabs>
          <w:tab w:val="left" w:leader="none" w:pos="709"/>
          <w:tab w:val="left" w:leader="none" w:pos="900"/>
          <w:tab w:val="left" w:leader="none" w:pos="993"/>
        </w:tabs>
        <w:spacing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Контроль за исполнением настоящего постановления оставляю </w:t>
      </w:r>
      <w:r>
        <w:rPr>
          <w:sz w:val="28"/>
        </w:rPr>
        <w:br w:type="textWrapping" w:clear="all"/>
      </w:r>
      <w:r>
        <w:rPr>
          <w:sz w:val="28"/>
        </w:rPr>
        <w:t xml:space="preserve">за собой.</w:t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70"/>
        <w:pBdr/>
        <w:tabs>
          <w:tab w:val="left" w:leader="none" w:pos="666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left" w:leader="none" w:pos="666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left" w:leader="none" w:pos="666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left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к 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27.03.2025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613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820" w:left="48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820" w:left="48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tabs>
          <w:tab w:val="left" w:leader="none" w:pos="5529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«Приложение к 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</w:t>
      </w:r>
      <w:r>
        <w:rPr>
          <w:sz w:val="28"/>
          <w:szCs w:val="28"/>
        </w:rPr>
        <w:t xml:space="preserve">. 12.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1991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820" w:left="48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widowControl w:val="false"/>
        <w:pBdr/>
        <w:tabs>
          <w:tab w:val="left" w:leader="none" w:pos="5529"/>
        </w:tabs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преступлений и иных правонарушений в городе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преступлений и иных правонарушений в городе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рограмма)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/>
        <w:tblLayout w:type="autofit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829"/>
        <w:gridCol w:w="68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sz w:val="28"/>
                <w:szCs w:val="28"/>
              </w:rPr>
              <w:t xml:space="preserve"> Алтайского края (далее-Администрация города).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города Новоалтайска (далее КДН и ЗП);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Администрации города (КО Администрации города);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культуре 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>
              <w:rPr>
                <w:sz w:val="28"/>
                <w:szCs w:val="28"/>
              </w:rPr>
              <w:t xml:space="preserve"> ЖКГХЭТС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молодёжи 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городу Новоалтайску (по согласованию);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УСО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Комплексный центр социального обслуживания населения города Новоалтайска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Центр занятости населения города Новоалтайска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ФКУ УИИ УФСИН  РФ по г. Новоалтайску (по согла</w:t>
            </w:r>
            <w:r>
              <w:rPr>
                <w:sz w:val="28"/>
                <w:szCs w:val="28"/>
              </w:rPr>
              <w:t xml:space="preserve">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Субъекты </w:t>
            </w:r>
            <w:r>
              <w:rPr>
                <w:sz w:val="28"/>
                <w:szCs w:val="28"/>
              </w:rPr>
              <w:t xml:space="preserve">системы </w:t>
            </w:r>
            <w:r>
              <w:rPr>
                <w:sz w:val="28"/>
                <w:szCs w:val="28"/>
              </w:rPr>
              <w:t xml:space="preserve">профилактики.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Профилактика преступлений и иных правонарушений в городе Новоалтайске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на 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(Приложение 1 к муниципальной программе)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в городе Новоалтайске на 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(Приложение 2 к муниципальной программе)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безопасности граждан, профилактика безнадзорности и правонарушений несовершеннолетних в городе Новоалтайске.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</w:t>
            </w:r>
            <w:r>
              <w:rPr>
                <w:sz w:val="28"/>
                <w:szCs w:val="28"/>
              </w:rPr>
              <w:t xml:space="preserve">рофилактика преступлений и иных право</w:t>
            </w:r>
            <w:r>
              <w:rPr>
                <w:sz w:val="28"/>
                <w:szCs w:val="28"/>
              </w:rPr>
              <w:t xml:space="preserve">нарушений в городе Новоалтайске.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</w:t>
            </w:r>
            <w:r>
              <w:rPr>
                <w:sz w:val="28"/>
                <w:szCs w:val="28"/>
              </w:rPr>
              <w:t xml:space="preserve">рофилактика безнадзорности и правонарушений несовершеннолетних в городе Новоалтайске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</w:t>
            </w:r>
            <w:r>
              <w:rPr>
                <w:sz w:val="28"/>
                <w:szCs w:val="28"/>
              </w:rPr>
              <w:t xml:space="preserve">ровень преступности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</w:t>
            </w:r>
            <w:r>
              <w:rPr>
                <w:sz w:val="28"/>
                <w:szCs w:val="28"/>
              </w:rPr>
              <w:t xml:space="preserve">ровень преступности несовершеннолетних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</w:t>
            </w:r>
            <w:r>
              <w:rPr>
                <w:sz w:val="28"/>
                <w:szCs w:val="28"/>
              </w:rPr>
              <w:t xml:space="preserve"> совместно с подпрограммами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еализуется в один этап с 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 по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рограмме за счет средств бюджета городского округа - </w:t>
            </w:r>
            <w:r>
              <w:rPr>
                <w:sz w:val="28"/>
                <w:szCs w:val="28"/>
              </w:rPr>
              <w:t xml:space="preserve">5008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тысяч рублей,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 xml:space="preserve">880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 xml:space="preserve">985,0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1202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финансирования подлежат ежегодному уточнению в связи с решением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 бюджете городского округа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на очередной финансовый год и на плановый период.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9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</w:t>
            </w:r>
            <w:r>
              <w:rPr>
                <w:sz w:val="28"/>
                <w:szCs w:val="28"/>
              </w:rPr>
              <w:t xml:space="preserve">нижение уровня  преступности до 1</w:t>
            </w: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  <w:t xml:space="preserve"> преступлений на 10 тысяч жителей;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</w:t>
            </w:r>
            <w:r>
              <w:rPr>
                <w:sz w:val="28"/>
                <w:szCs w:val="28"/>
              </w:rPr>
              <w:t xml:space="preserve">нижение </w:t>
            </w:r>
            <w:r>
              <w:rPr>
                <w:sz w:val="28"/>
                <w:szCs w:val="28"/>
              </w:rPr>
              <w:t xml:space="preserve">уровн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преступности несовершеннолетних</w:t>
            </w:r>
            <w:r>
              <w:rPr>
                <w:sz w:val="28"/>
                <w:szCs w:val="28"/>
              </w:rPr>
              <w:t xml:space="preserve"> до 79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преступлений</w:t>
            </w:r>
            <w:r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10 тысяч несовершеннолетних в воз</w:t>
            </w:r>
            <w:r>
              <w:rPr>
                <w:sz w:val="28"/>
                <w:szCs w:val="28"/>
              </w:rPr>
              <w:t xml:space="preserve">расте от 14 до 18 лет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0"/>
        <w:widowControl w:val="false"/>
        <w:pBdr/>
        <w:spacing/>
        <w:ind w:left="435"/>
        <w:rPr>
          <w:sz w:val="28"/>
          <w:szCs w:val="28"/>
        </w:rPr>
      </w:pPr>
      <w:r/>
      <w:bookmarkStart w:id="0" w:name="Par249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tabs>
          <w:tab w:val="clear" w:leader="none" w:pos="2771"/>
        </w:tabs>
        <w:spacing/>
        <w:ind w:firstLine="0"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 Общая характеристика сферы реализации </w:t>
      </w:r>
      <w:r>
        <w:rPr>
          <w:sz w:val="28"/>
          <w:szCs w:val="28"/>
        </w:rPr>
        <w:t xml:space="preserve">муниципальной 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left="4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Программы - защита жи</w:t>
      </w:r>
      <w:r>
        <w:rPr>
          <w:sz w:val="28"/>
          <w:szCs w:val="28"/>
        </w:rPr>
        <w:t xml:space="preserve">зни, здоровья, прав и свобод, а также собственности граждан, интересов общества и государства от преступных и иных противоправных посягательств. Предмет регулирования Программы - система общественных правоотношений в сфере обеспечения общественной безопасн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и правопорядка.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действия Программы - совершенствование механизма вза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модействия органов местного самоуправления муниципального образования города Новоалтайска, территориальных органов федеральных органов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власти, общественных объединений и населения края в сфере проф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лактики правонарушений и усиления борьбы с преступностью.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оперативной обстановки на территории города Новоалтайска показал, что в 2019 году зарегистрировано 1229 преступлений,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2018 год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– 1157 преступлений. Уровень преступности на одну тысячу человек населения увеличился и составил 16,7 (2018 год – 15,7) преступлений.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структуре преступлений преобладали кражи чужого имущества – 491 или 40,0% от общего количества преступлений (2018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– 416)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Однако, </w:t>
      </w:r>
      <w:r>
        <w:rPr>
          <w:sz w:val="28"/>
          <w:szCs w:val="28"/>
        </w:rPr>
        <w:t xml:space="preserve">по-прежнему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высок процент лиц, совершивших преступления, не имеющих постоянного источника доходов, ранее совершавших преступл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 вновь преступивших закон. Негативно отражается на криминальной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становке пьянство определённой категории граждан.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года количество несовершеннолетних в городе составило </w:t>
      </w:r>
      <w:r>
        <w:rPr>
          <w:sz w:val="28"/>
          <w:szCs w:val="28"/>
        </w:rPr>
        <w:t xml:space="preserve">16697</w:t>
      </w:r>
      <w:r>
        <w:rPr>
          <w:sz w:val="28"/>
          <w:szCs w:val="28"/>
        </w:rPr>
        <w:t xml:space="preserve"> человек. Создан и постоянно обновляется банк данных семей, наход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щихся в социально опасном положении. На 01.01.2017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- 107 семей, в них 186 детей, на 01.01.2018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– 111 сем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, в них 199 детей, на 01.01.2019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– 97 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мей, в них 191 ребен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к, на 01.01.2020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– 90 сем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, в них 178 детей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городского банка данных показывает, что наблюдается постепе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ное снижение количества семей, находящихся в социально опасном полож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нии. Снижается количество несовершеннолетних, состоящих на учете в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 по делам несовершеннолетних и защите их прав (далее КДН и ЗП): на 01.01.2017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– 46, на 01.01.2018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– 49, на 01.01.2019 года – 52, на 01.01.2020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– 33. </w:t>
      </w:r>
      <w:r>
        <w:rPr>
          <w:color w:val="000000"/>
          <w:sz w:val="28"/>
          <w:szCs w:val="28"/>
        </w:rPr>
        <w:t xml:space="preserve">Согласно статистическим данным в г</w:t>
      </w:r>
      <w:r>
        <w:rPr>
          <w:color w:val="000000"/>
          <w:sz w:val="28"/>
          <w:szCs w:val="28"/>
        </w:rPr>
        <w:t xml:space="preserve">ороде</w:t>
      </w:r>
      <w:r>
        <w:rPr>
          <w:color w:val="000000"/>
          <w:sz w:val="28"/>
          <w:szCs w:val="28"/>
        </w:rPr>
        <w:t xml:space="preserve"> Новоалтайске </w:t>
      </w:r>
      <w:r>
        <w:rPr>
          <w:color w:val="000000"/>
          <w:sz w:val="28"/>
          <w:szCs w:val="28"/>
        </w:rPr>
        <w:t xml:space="preserve">по итогам</w:t>
      </w:r>
      <w:r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года наблюдалось снижение количества преступлений, совершенных несовершенн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летними  (20</w:t>
      </w:r>
      <w:r>
        <w:rPr>
          <w:color w:val="000000"/>
          <w:sz w:val="28"/>
          <w:szCs w:val="28"/>
        </w:rPr>
        <w:t xml:space="preserve">16</w:t>
      </w:r>
      <w:r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48</w:t>
      </w:r>
      <w:r>
        <w:rPr>
          <w:color w:val="000000"/>
          <w:sz w:val="28"/>
          <w:szCs w:val="28"/>
        </w:rPr>
        <w:t xml:space="preserve"> преступлени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, 201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год - </w:t>
      </w:r>
      <w:r>
        <w:rPr>
          <w:color w:val="000000"/>
          <w:sz w:val="28"/>
          <w:szCs w:val="28"/>
        </w:rPr>
        <w:t xml:space="preserve">45</w:t>
      </w:r>
      <w:r>
        <w:rPr>
          <w:color w:val="000000"/>
          <w:sz w:val="28"/>
          <w:szCs w:val="28"/>
        </w:rPr>
        <w:t xml:space="preserve">, 201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год – 2</w:t>
      </w:r>
      <w:r>
        <w:rPr>
          <w:color w:val="000000"/>
          <w:sz w:val="28"/>
          <w:szCs w:val="28"/>
        </w:rPr>
        <w:t xml:space="preserve">9, 2019 год - 22</w:t>
      </w:r>
      <w:r>
        <w:rPr>
          <w:color w:val="000000"/>
          <w:sz w:val="28"/>
          <w:szCs w:val="28"/>
        </w:rPr>
        <w:t xml:space="preserve"> преступл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ния). Данные показатели говорят</w:t>
      </w:r>
      <w:r>
        <w:rPr>
          <w:sz w:val="28"/>
          <w:szCs w:val="28"/>
        </w:rPr>
        <w:t xml:space="preserve"> об эффективности профилактических 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приятий, проводимых в рамках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преступлений и иных правонарушений в городе Новоалтайске на 2016-2020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отмечается снижение уровня подростковой преступности. В то же время, несмотря на положительную динамику, негативные социальные факторы по-прежнему остаются основными причинами формирования соц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ально-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виантного поведения подростков. Низкий уровень и качество жизни семей, безработица родителей, невыполнение родителями обязанностей по воспит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нию детей, вовлечение подростков в преступную деятельность со стороны взрослых лиц, а также самовольные уходы несовершеннолетних из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ний, семей, бродяжничество, основные негативные процессы, которые обуславливают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ступность несовершеннолетних.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num" w:leader="none" w:pos="180"/>
        </w:tabs>
        <w:spacing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субъектов городской системы профилактики осуществл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на принципе межведомственного взаимодействия, который определяет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рядок формирования отношений между субъектами системы профилактики,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самоуправления, общественных формирований посредством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гласования планов мероприятий и действий по их реализации, контроля за их выполнением, обмена и передачи информации; на принципе распределения сфер ответственности, который предполагает конкретных исполнителей, закр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пление за ними определенного круга задач в рамках ведомственной компете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ции; принцип комплексности, который предполагает реализацию системного подхода в работе с несовершеннолетними и семьями, находящимися в социал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 опасной ситуации и воздействие на них, с учетом всех аспектов: экономич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ских, правовых, социальных, медицинских, педагогических, психологич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ских, культурных.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Проводимый мониторинг состояния преступности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как на территории 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тайского края, так и в городе Новоалтайске, позволяет определить тенденции развития криминальной обстановки, а также конкретизировать характер вза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модействия территориальных органов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федеральных органов исполнительной власти и органов местного самоуправления с целью дальнейшего развития си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темы профилактики правонарушений, определить новые задачи по обеспеч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личной безопасности гр</w:t>
      </w:r>
      <w:r>
        <w:rPr>
          <w:sz w:val="28"/>
          <w:szCs w:val="28"/>
        </w:rPr>
        <w:t xml:space="preserve">аждан, по защите их имущества, общественного порядка и по борьбе с преступностью на территории города, для выполнения которых необходимо использование комплексного подхода. Как показывает практика, решение этой важнейшей социальной задачи только правоохран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тельными методами невозможно. Требуется участие всех сил общества, скоо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динированная совместная профилактическая работа служб социальной защиты населения, здравоохранения, культуры и образования, общественных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ций. Коренного перелома в решении вопросов профилактики правонарушений можно добиться только при обеспечении комплексного подхода, подкрепле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соответствующими финансовыми и материально-техническими ресурс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360"/>
        <w:jc w:val="center"/>
        <w:rPr>
          <w:color w:val="00b050"/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Общая характеристика муниципальной программы</w:t>
      </w:r>
      <w:r>
        <w:rPr>
          <w:color w:val="00b050"/>
          <w:sz w:val="28"/>
          <w:szCs w:val="28"/>
          <w:shd w:val="clear" w:color="auto" w:fill="ffff00"/>
        </w:rPr>
      </w:r>
      <w:r>
        <w:rPr>
          <w:color w:val="00b050"/>
          <w:sz w:val="28"/>
          <w:szCs w:val="28"/>
          <w:shd w:val="clear" w:color="auto" w:fill="ffff00"/>
        </w:rPr>
      </w:r>
    </w:p>
    <w:p>
      <w:pPr>
        <w:pStyle w:val="970"/>
        <w:widowControl w:val="false"/>
        <w:pBdr/>
        <w:spacing/>
        <w:ind w:firstLine="360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</w:r>
      <w:r>
        <w:rPr>
          <w:sz w:val="28"/>
          <w:szCs w:val="28"/>
          <w:shd w:val="clear" w:color="auto" w:fill="ffff00"/>
        </w:rPr>
      </w:r>
      <w:r>
        <w:rPr>
          <w:sz w:val="28"/>
          <w:szCs w:val="28"/>
          <w:shd w:val="clear" w:color="auto" w:fill="ffff00"/>
        </w:rPr>
      </w:r>
    </w:p>
    <w:p>
      <w:pPr>
        <w:pStyle w:val="970"/>
        <w:widowControl w:val="false"/>
        <w:pBdr/>
        <w:spacing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Приори</w:t>
      </w:r>
      <w:r>
        <w:rPr>
          <w:sz w:val="28"/>
          <w:szCs w:val="28"/>
        </w:rPr>
        <w:t xml:space="preserve">теты муниципальной политики </w:t>
      </w:r>
      <w:r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 xml:space="preserve">муниципальной п</w:t>
      </w:r>
      <w:r>
        <w:rPr>
          <w:sz w:val="28"/>
          <w:szCs w:val="28"/>
        </w:rPr>
        <w:t xml:space="preserve">рограммы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политики в сфере профилактики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ступлений и иных правонарушений в городе Новоалтайске на период до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сформулированы с учетом целей и задач, представленных в следующих страт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гических документах: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Конституция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"consultantplus://offline/ref=A02C6D6346E215D4B3F6556942E08DB3E44A162B8A86CFD72129759760a8E2J"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07.02.2011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полиции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з</w:t>
      </w:r>
      <w:r>
        <w:rPr>
          <w:sz w:val="28"/>
          <w:szCs w:val="28"/>
        </w:rPr>
        <w:t xml:space="preserve">акон от 24.06.1999 года № 120-ФЗ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основах системы 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 от 24.07.1998 года № 124-ФЗ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основных гарант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 прав ребенка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"consultantplus://offline/ref=A02C6D6346E215D4B3F6556942E08DB3E44B16288D8BCFD72129759760a8E2J"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Указ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Президента Российской Федерации от 09.10.2007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1351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ждении Концепции демографической политики Российской Федерации на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 до 2025 года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"consultantplus://offline/ref=A02C6D6346E215D4B3F6556942E08DB3E44B11298C80CFD72129759760a8E2J"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15.04.2014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345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общественного порядка и противодействие преступности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Правительства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от 06.11.2013 года № 995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ждении П</w:t>
      </w:r>
      <w:r>
        <w:rPr>
          <w:sz w:val="28"/>
          <w:szCs w:val="28"/>
        </w:rPr>
        <w:t xml:space="preserve">римерного положения о комиссиях по делам несовершеннолетних и защите их прав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Закон Алтайского края от 15.12.2002 № </w:t>
      </w:r>
      <w:r>
        <w:rPr>
          <w:sz w:val="28"/>
          <w:szCs w:val="28"/>
        </w:rPr>
        <w:t xml:space="preserve">86-ЗС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системе профилактики безнадзорности и правонарушений несовершеннолетних в Алтайском 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усиление эффективности координации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территориальных органов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федеральных органов государственной власти, органов местного самоуправления, институтов гражданского общества в сфере профилактики преступлений и правонарушен</w:t>
      </w:r>
      <w:r>
        <w:rPr>
          <w:sz w:val="28"/>
          <w:szCs w:val="28"/>
        </w:rPr>
        <w:t xml:space="preserve">ий, замедление темпов её роста.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 цели, задач и конечных результатов</w:t>
      </w:r>
      <w:r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</w:r>
      <w:r>
        <w:rPr>
          <w:color w:val="00b050"/>
          <w:sz w:val="28"/>
          <w:szCs w:val="28"/>
        </w:rPr>
      </w:r>
      <w:r>
        <w:rPr>
          <w:color w:val="00b050"/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беспечение безопасности граждан, профилактика безнадзорности и правонарушений несовершеннолетних в городе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рофилактика преступлений и иных право</w:t>
      </w:r>
      <w:r>
        <w:rPr>
          <w:sz w:val="28"/>
          <w:szCs w:val="28"/>
        </w:rPr>
        <w:t xml:space="preserve">нарушений в городе Новоалтайске.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</w:t>
      </w:r>
      <w:r>
        <w:rPr>
          <w:sz w:val="28"/>
          <w:szCs w:val="28"/>
        </w:rPr>
        <w:t xml:space="preserve">рофилактика безнадзорн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и правонарушений несовершеннолетних в городе Новоалтайске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результатами реализации Программы к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станут: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</w:t>
      </w:r>
      <w:r>
        <w:rPr>
          <w:sz w:val="28"/>
          <w:szCs w:val="28"/>
        </w:rPr>
        <w:t xml:space="preserve">нижение уровня преступности до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0 п</w:t>
      </w:r>
      <w:r>
        <w:rPr>
          <w:sz w:val="28"/>
          <w:szCs w:val="28"/>
        </w:rPr>
        <w:t xml:space="preserve">реступлений на 10 тысяч жителей.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</w:t>
      </w:r>
      <w:r>
        <w:rPr>
          <w:sz w:val="28"/>
          <w:szCs w:val="28"/>
        </w:rPr>
        <w:t xml:space="preserve">нижение уровня преступности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совершеннолетних до </w:t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преступлений </w:t>
      </w:r>
      <w:r>
        <w:rPr>
          <w:sz w:val="28"/>
          <w:szCs w:val="28"/>
        </w:rPr>
        <w:t xml:space="preserve">на 10 тысяч несовершеннолетних в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расте от 14 до 18 лет.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Перечень индикаторов муниципальной программы представлен </w:t>
      </w:r>
      <w:r>
        <w:rPr>
          <w:sz w:val="28"/>
          <w:szCs w:val="28"/>
          <w:highlight w:val="none"/>
        </w:rPr>
        <w:br w:type="textWrapping" w:clear="all"/>
      </w:r>
      <w:r>
        <w:rPr>
          <w:sz w:val="28"/>
          <w:szCs w:val="28"/>
          <w:highlight w:val="none"/>
        </w:rPr>
        <w:t xml:space="preserve">в приложении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к муниципальной программе.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муниципальной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39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4678"/>
        <w:gridCol w:w="1843"/>
      </w:tblGrid>
      <w:tr>
        <w:trPr>
          <w:cantSplit/>
          <w:tblHeader/>
        </w:trPr>
        <w:tc>
          <w:tcPr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индикатора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 значения целевого индикатора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получения данных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01"/>
        </w:trPr>
        <w:tc>
          <w:tcPr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ровень преступности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Д=В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*10000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 значение индикатора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В- </w:t>
            </w:r>
            <w:r>
              <w:rPr>
                <w:sz w:val="24"/>
                <w:szCs w:val="24"/>
              </w:rPr>
              <w:t xml:space="preserve">количество преступлений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 </w:t>
            </w:r>
            <w:r>
              <w:rPr>
                <w:sz w:val="24"/>
                <w:szCs w:val="24"/>
              </w:rPr>
              <w:t xml:space="preserve">среднегодовая численность</w:t>
            </w:r>
            <w:r>
              <w:rPr>
                <w:sz w:val="24"/>
                <w:szCs w:val="24"/>
              </w:rPr>
              <w:t xml:space="preserve"> населения города Новоалтайска.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                      г. Новоалтайску</w:t>
            </w:r>
            <w:r>
              <w:rPr>
                <w:sz w:val="24"/>
                <w:szCs w:val="24"/>
              </w:rPr>
              <w:t xml:space="preserve">, отдел по экономике Администрации города.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ровень преступности несовершеннолетних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Д=В/М</w:t>
            </w:r>
            <w:r>
              <w:rPr>
                <w:sz w:val="24"/>
                <w:szCs w:val="24"/>
              </w:rPr>
              <w:t xml:space="preserve">*10000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 значение индикатора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В- </w:t>
            </w:r>
            <w:r>
              <w:rPr>
                <w:sz w:val="24"/>
                <w:szCs w:val="24"/>
              </w:rPr>
              <w:t xml:space="preserve">количество преступлений,</w:t>
            </w:r>
            <w:r>
              <w:rPr>
                <w:sz w:val="24"/>
                <w:szCs w:val="24"/>
              </w:rPr>
              <w:t xml:space="preserve"> соверш</w:t>
            </w:r>
            <w:r>
              <w:rPr>
                <w:sz w:val="24"/>
                <w:szCs w:val="24"/>
              </w:rPr>
              <w:t xml:space="preserve">енных несовершеннолетними в возрасте от 14 до 18 лет;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65"/>
              <w:pBdr/>
              <w:spacing/>
              <w:ind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М- </w:t>
            </w:r>
            <w:r>
              <w:rPr>
                <w:sz w:val="24"/>
                <w:szCs w:val="24"/>
                <w:lang w:val="ru-RU"/>
              </w:rPr>
              <w:t xml:space="preserve">численность несовершеннолетних города Новоалтайска в возрасте 14-17 лет по состоянию на 1 января отчетного года.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                      г. Новоалтайску</w:t>
            </w:r>
            <w:r>
              <w:rPr>
                <w:sz w:val="24"/>
                <w:szCs w:val="24"/>
              </w:rPr>
              <w:t xml:space="preserve">, отдел по экономике Администрации города.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numPr>
          <w:ilvl w:val="0"/>
          <w:numId w:val="16"/>
        </w:numPr>
        <w:pBdr/>
        <w:spacing/>
        <w:ind w:firstLine="0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мероприятий муниципальной программы,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сроков и этапов их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</w:r>
      <w:r>
        <w:rPr>
          <w:color w:val="00b050"/>
          <w:sz w:val="28"/>
          <w:szCs w:val="28"/>
        </w:rPr>
      </w:r>
      <w:r>
        <w:rPr>
          <w:color w:val="00b050"/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рограмма включает</w:t>
      </w:r>
      <w:r>
        <w:rPr>
          <w:sz w:val="28"/>
          <w:szCs w:val="28"/>
        </w:rPr>
        <w:t xml:space="preserve"> в 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две</w:t>
      </w:r>
      <w:r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, реализ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 мероприятий котор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комплексе признана обеспечить достижения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Прогр</w:t>
      </w:r>
      <w:r>
        <w:rPr>
          <w:sz w:val="28"/>
          <w:szCs w:val="28"/>
        </w:rPr>
        <w:t xml:space="preserve">аммы и решения </w:t>
      </w:r>
      <w:r>
        <w:rPr>
          <w:sz w:val="28"/>
          <w:szCs w:val="28"/>
        </w:rPr>
        <w:t xml:space="preserve">программных</w:t>
      </w:r>
      <w:r>
        <w:rPr>
          <w:sz w:val="28"/>
          <w:szCs w:val="28"/>
        </w:rPr>
        <w:t xml:space="preserve"> задач.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формирования мероприятий подпрограммы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преступлений и иных правонарушений в городе Новоалтайске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основывается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прогнозе уровня и состояния преступности на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города Новоалтайска в период действия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филактика преступлений и иных правонарушений в городе Новоалтайске на 20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предусматривает</w:t>
      </w:r>
      <w:r>
        <w:rPr>
          <w:sz w:val="28"/>
          <w:szCs w:val="28"/>
        </w:rPr>
        <w:t xml:space="preserve"> оплату расходов за пользование кно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ками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Тревожной сигнализации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установленны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на объектах образования, поощр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граждан, оказавших помощь в раскрытии преступлений, содействие деятельности народной дружине на территории города, </w:t>
      </w:r>
      <w:r>
        <w:rPr>
          <w:sz w:val="28"/>
          <w:szCs w:val="28"/>
        </w:rPr>
        <w:t xml:space="preserve">проведение разъяснител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работы с населением города по вопросам профилактики преступлений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выработка мер социального обслуживания, реабилитации лиц,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вободившихся из мест лишения свободы.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формирования мероприятий подпрограммы 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безнадзорности и правонарушений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совершеннолетних в городе Новоалтайске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основывается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прогнозе </w:t>
      </w:r>
      <w:r>
        <w:rPr>
          <w:sz w:val="28"/>
          <w:szCs w:val="28"/>
        </w:rPr>
        <w:t xml:space="preserve">уровня и состояния преступн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среди несовершеннолетних,</w:t>
      </w:r>
      <w:r>
        <w:rPr>
          <w:sz w:val="28"/>
          <w:szCs w:val="28"/>
        </w:rPr>
        <w:t xml:space="preserve"> анализе результатов исполнения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тий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безнадзорности и правонар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шений несовершеннолетних в городе Новоалтайске на 20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определяет мероприятия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 создание условий для социальной, психол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го–педагогической, медико–социальной и иной необходимой помощи и реабил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тации несовершеннолетних, находящихся в социально опасном положении, а также создание условий для эффективного взаимодействия в профила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тической работе по предупреждению преступлений,  алкоголизации и наркотизации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ростковой среды</w:t>
      </w:r>
      <w:r>
        <w:rPr>
          <w:sz w:val="28"/>
          <w:szCs w:val="28"/>
        </w:rPr>
        <w:t xml:space="preserve">, снижения преступности среди подростков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"consultantplus://offline/ref=EFC967C42C5522D21463CC7CB80295743865C04E0AC42EE97FBCC2C4A5C50C9227F68EF476176ACA2C1536fDL2D"</w:instrText>
      </w:r>
      <w:r>
        <w:rPr>
          <w:sz w:val="28"/>
          <w:szCs w:val="28"/>
        </w:rPr>
        <w:fldChar w:fldCharType="separate"/>
      </w:r>
      <w:r>
        <w:rPr>
          <w:rStyle w:val="1044"/>
          <w:color w:val="000000"/>
          <w:sz w:val="28"/>
          <w:szCs w:val="28"/>
          <w:u w:val="none"/>
        </w:rPr>
        <w:t xml:space="preserve">Перечень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мероприятий 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</w:t>
      </w:r>
      <w:r>
        <w:rPr>
          <w:sz w:val="28"/>
          <w:szCs w:val="28"/>
          <w:highlight w:val="none"/>
        </w:rPr>
        <w:t xml:space="preserve">в прило</w:t>
      </w:r>
      <w:r>
        <w:rPr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 к муниципальной программе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Общий объём финансовых ресурсов, необходимых для реализации </w:t>
      </w:r>
      <w:r>
        <w:rPr>
          <w:sz w:val="28"/>
          <w:szCs w:val="28"/>
        </w:rPr>
        <w:t xml:space="preserve">муниципальной 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Программы составляет </w:t>
      </w:r>
      <w:r>
        <w:rPr>
          <w:sz w:val="28"/>
          <w:szCs w:val="28"/>
        </w:rPr>
        <w:t xml:space="preserve">5008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рублей, из них из городского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5008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тысяч рублей, в том числе по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 </w:t>
      </w:r>
      <w:r>
        <w:rPr>
          <w:sz w:val="28"/>
          <w:szCs w:val="28"/>
        </w:rPr>
        <w:t xml:space="preserve">880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 9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 985,0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 9</w:t>
      </w:r>
      <w:r>
        <w:rPr>
          <w:sz w:val="28"/>
          <w:szCs w:val="28"/>
        </w:rPr>
        <w:t xml:space="preserve">93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 1202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Объём финансирования Программы подлежит ежегодному уточнению при формировании бюджета города на очередной финансовый год. Сводные финансовые затраты по направлениям Программы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лены в </w:t>
      </w:r>
      <w:r>
        <w:rPr>
          <w:sz w:val="28"/>
          <w:szCs w:val="28"/>
          <w:highlight w:val="none"/>
        </w:rPr>
        <w:t xml:space="preserve">приложении </w:t>
      </w:r>
      <w:r>
        <w:rPr>
          <w:sz w:val="28"/>
          <w:szCs w:val="28"/>
          <w:highlight w:val="none"/>
        </w:rPr>
        <w:t xml:space="preserve"> 5</w:t>
      </w:r>
      <w:r>
        <w:rPr>
          <w:sz w:val="28"/>
          <w:szCs w:val="28"/>
          <w:highlight w:val="none"/>
        </w:rPr>
        <w:t xml:space="preserve"> к муниципальной программе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Анализ рисков реализации Программы и описание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 управления рисками реализации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предполагаемых для реализации в ра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ках муниципальной Программы, выделены следующие риски: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рганизационные риски, связанные с ошибками управления реализ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цией муниципальной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рограммы, в том числе отдельных её исполнителей, неготовностью организационной инфраструктуры к решению задач, поставле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муниципальной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рограммой, что может привести к нецелевому и (или)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эффективному использованию бюджетных средств, невыполнения ряда 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приятий муниципальной Программы или з</w:t>
      </w:r>
      <w:r>
        <w:rPr>
          <w:sz w:val="28"/>
          <w:szCs w:val="28"/>
        </w:rPr>
        <w:t xml:space="preserve">адержке в их выполнении.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инансовые риски, которые связаны с финансированием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в неполном объёме. Данные риски возникают по причине длител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срока реа</w:t>
      </w:r>
      <w:r>
        <w:rPr>
          <w:sz w:val="28"/>
          <w:szCs w:val="28"/>
        </w:rPr>
        <w:t xml:space="preserve">лизации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епредвиденные риски. Связанные с кризисными </w:t>
      </w:r>
      <w:r>
        <w:rPr>
          <w:sz w:val="28"/>
          <w:szCs w:val="28"/>
        </w:rPr>
        <w:t xml:space="preserve">явлениями,</w:t>
      </w:r>
      <w:r>
        <w:rPr>
          <w:sz w:val="28"/>
          <w:szCs w:val="28"/>
        </w:rPr>
        <w:t xml:space="preserve"> как в экономике Алтайского края, так и в экономике города Новоалтайска, с природн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и техногенными катастрофами и катаклизмами, которые могут привести к снижению бюджетных доходов, ухудшению динамики экономических показ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телей, в том числе повышению инфляции, снижению темпов экономического роста и доходов населения, концентрации средств городского бюджета на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одоление последствий таких катастроф.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риски можно распределить по уровням их влияния на реализ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цию муниципальной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798"/>
        <w:gridCol w:w="1587"/>
        <w:gridCol w:w="420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риска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влияния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по снижению риска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Организационные риски: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неактуальность прогнозиров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 и запаздывание разработки, соглас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вания и выполнения мероприятий муниципальной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рограммы;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недостаточная гибкость и адаптируемость муниципал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рограммы к изменению экономического развития Алтайского края и города Нов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алтайска;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пассивное сопротивление отдельных организаций провед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нию мероприятий муниципальной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рогра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мы.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умеренный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</w:t>
            </w:r>
            <w:r>
              <w:rPr>
                <w:sz w:val="24"/>
                <w:szCs w:val="24"/>
              </w:rPr>
              <w:t xml:space="preserve">овышение квалификации и ответственности персонала ответственного исполнителя и соисполнителей для своевременной и эффективной реализации предусмо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ренных муниципальной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рогра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мой мероприятий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</w:t>
            </w:r>
            <w:r>
              <w:rPr>
                <w:sz w:val="24"/>
                <w:szCs w:val="24"/>
              </w:rPr>
              <w:t xml:space="preserve">оординация деятельности ответственного исполнителя и соисполнителей и налаживание административных процедур для сниж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данного риска.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Финансовые риски: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дефицит средств городского бюджета, необходимого на реализацию основных меропри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тий муниципальной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рогра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мы.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беспечение сбалансированного распределения финансовых средств по основным мероприят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ям муниципальной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рограммы в соответствии с ожидаемыми 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нечными результатами.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Непредвиденные риски: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резкое ухудшение состояния экономики вследствие фина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сового и экономического кр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зиса;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природные и техногенные катас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рофы и катаклизмы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рогнозирование социально-экономического развития при непре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виденных рисках с учетом возможного ухудшения эконом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ческой ситуации.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из вышеперечисленных рисков наиболее отрицательное вли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ние на реализацию муниципальной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могут оказать финансовые и непредвиденные риски, которые содержат угрозу срыва ее реализации. В связи с отсутствием в муниципальной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 рычагов управления непредв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денными рисками наибольшее внимание будет уделяться управлению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выми рисками.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управления финансовыми рисками планируется осуществление мероприятий по снижению величины рисков путем ежегодного уточнения финансирования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программы.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Механизм реализации муниципальной 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Программы – Администрация города Новоалта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Администрация города) – определяет участников мероприятий Программы.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Механизм реализации Программы базируется на принципах пар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нерства  территориальных органов федеральных органов исполнительной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сти, органов местного самоуправления и общественных объединений.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и контроля реализации мероприятий Программы комиссия по противодействию экстремизму профилактике преступлений и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вонарушений на территории города Новоалтайска, совместно с Администрац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ей города</w:t>
      </w:r>
      <w:r>
        <w:rPr>
          <w:sz w:val="28"/>
          <w:szCs w:val="28"/>
        </w:rPr>
        <w:t xml:space="preserve">, КДН и ЗП Администрации города</w:t>
      </w:r>
      <w:r>
        <w:rPr>
          <w:sz w:val="28"/>
          <w:szCs w:val="28"/>
        </w:rPr>
        <w:t xml:space="preserve"> проводит анализ, контроль, мон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торинг и регулирование процесса реализации и ежегодно готовит отчет о ходе реал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и оценке эффективности Программы. Мониторинг ориентирован на раннее предупреждение возникновения проблем и отклонений от запланир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ванных параметров в ходе реализации Программы, а также на выполнение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роприятий Программы в течение года. Мониторинг реализации Программы осуществляется ежеквартально. Объектом мониторинга является выполнение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тий Программы в установленные сроки, сведения о финансировании Программы на отчетную дату, степень достижения плановых значений индикаторов Програ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tabs>
          <w:tab w:val="left" w:leader="none" w:pos="709"/>
        </w:tabs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организует реализацию Программы, принимает решение о внесении изменений в Программу в соответствии с установленным порядком и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контролирует выполнение программных мероприятий, выявляет несоответс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вие результатов их реализации плановым показателям, устанавливает прич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ны не достижения ожидаемых результатов и определяет меры по их устран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запрашивает у исполнителей и участников Программы информацию,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димую для проведения мониторинга и подготовки отчета о ходе реализации и оценки эффективности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рекомендует исполнителям и участникам Программы осуществлять разр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ботку отдельных мероприятий, планов их реализации;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подготавливает ежеквартальные и годовые отчеты о ходе реализации Програ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мы, представляет их в установленном порядке и сроки в комитет по экономич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ской политике и инвестициям и комитет по финансам, налоговой и кредитной политике Администрации 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Участники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осуществляют реализацию мероприятий Программы, в отношении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они являются исполнителями;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вносят ответственному исполнителю предложения о необходимости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сения изменений в Программу;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предоставляют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10 числа месяца, следующего за отчетным кварталом);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обеспечивают эффективное использование средств, выделяемых на ре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лизацию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4"/>
          <w:szCs w:val="24"/>
        </w:rPr>
        <w:br w:type="page" w:clear="all"/>
      </w: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муниципальной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реступлений</w:t>
      </w:r>
      <w:r>
        <w:rPr>
          <w:sz w:val="28"/>
          <w:szCs w:val="28"/>
        </w:rPr>
        <w:t xml:space="preserve"> и иных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правонарушений в городе</w:t>
      </w:r>
      <w:r>
        <w:rPr>
          <w:sz w:val="28"/>
          <w:szCs w:val="28"/>
        </w:rPr>
        <w:t xml:space="preserve">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Паспорт подпрограммы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преступлений и иных правонарушений в городе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подпрограмма 1)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780"/>
        <w:gridCol w:w="581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сполнитель подпрогра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мы 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подпрограммы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Администрации гор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 (КО Администрации города);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культуре 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ЖКГХЭТС 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молодёжи Администрации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рода;</w:t>
            </w:r>
            <w:r>
              <w:rPr>
                <w:sz w:val="28"/>
                <w:szCs w:val="28"/>
              </w:rPr>
              <w:t xml:space="preserve"> Комиссия по делам несовершеннолетних и защите их прав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города Новоалтайска (далее - КДН и ЗП</w:t>
            </w:r>
            <w:r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городу Новоалтайску (по согласов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нию);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Комплексный центр социального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служивания населения города Новоалтайска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Центр занятости населения города 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воалтайска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Цель подпрограммы 1</w:t>
            </w: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безопасности граждан, прож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вающих на территории города Новоалтайска.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Задачи подпрограммы 1</w:t>
            </w: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Укрепление сил и средств субъектов, реализующих мероприятия в области профилактики правонарушений и преступл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 Повышение уровня правовой культуры гра</w:t>
            </w:r>
            <w:r>
              <w:rPr>
                <w:sz w:val="28"/>
                <w:szCs w:val="28"/>
              </w:rPr>
              <w:t xml:space="preserve">ж</w:t>
            </w:r>
            <w:r>
              <w:rPr>
                <w:sz w:val="28"/>
                <w:szCs w:val="28"/>
              </w:rPr>
              <w:t xml:space="preserve">дан.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 Профилактика правонарушений среди лиц, склонных к противоправному поведению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оказ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тели подпрограммы 1</w:t>
            </w: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Ф</w:t>
            </w:r>
            <w:r>
              <w:rPr>
                <w:sz w:val="28"/>
                <w:szCs w:val="28"/>
              </w:rPr>
              <w:t xml:space="preserve">ункционирование кнопок тревожной сигнализации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</w:t>
            </w:r>
            <w:r>
              <w:rPr>
                <w:sz w:val="28"/>
                <w:szCs w:val="28"/>
              </w:rPr>
              <w:t xml:space="preserve">оличество зарегис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риро</w:t>
            </w:r>
            <w:r>
              <w:rPr>
                <w:sz w:val="28"/>
                <w:szCs w:val="28"/>
              </w:rPr>
              <w:t xml:space="preserve">ванных преступлений.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</w:t>
            </w:r>
            <w:r>
              <w:rPr>
                <w:sz w:val="28"/>
                <w:szCs w:val="28"/>
              </w:rPr>
              <w:t xml:space="preserve">ровень преступлений, совершаемых на улицах и в других общественных местах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Сроки и этапы реализации подпрограммы 1</w:t>
            </w: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реализуется в один этап с 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 по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программы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подпрограммы 1 </w:t>
            </w:r>
            <w:r>
              <w:rPr>
                <w:sz w:val="28"/>
                <w:szCs w:val="28"/>
              </w:rPr>
              <w:t xml:space="preserve"> за счет средств бюджета городского округа - 4608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,0 тысяч рублей,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 xml:space="preserve">800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 xml:space="preserve">868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 xml:space="preserve">905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 1122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финансирования подлежат ежегодному уточнению в связи с решением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 бюджете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родского округа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на очередной финансовый год.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  <w:highlight w:val="yellow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Ожидаемые результаты реал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зации подпрограммы 1</w:t>
            </w:r>
            <w:r>
              <w:rPr>
                <w:sz w:val="28"/>
                <w:szCs w:val="28"/>
                <w:highlight w:val="yellow"/>
                <w:shd w:val="clear" w:color="auto" w:fill="ffff00"/>
              </w:rPr>
            </w:r>
            <w:r>
              <w:rPr>
                <w:sz w:val="28"/>
                <w:szCs w:val="28"/>
                <w:highlight w:val="yellow"/>
                <w:shd w:val="clear" w:color="auto" w:fill="ffff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Функционирование не менее </w:t>
            </w: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 кнопок тревожной сигнализации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</w:t>
            </w:r>
            <w:r>
              <w:rPr>
                <w:sz w:val="28"/>
                <w:szCs w:val="28"/>
              </w:rPr>
              <w:t xml:space="preserve">нижение количества преступлений до </w:t>
            </w:r>
            <w:r>
              <w:rPr>
                <w:sz w:val="28"/>
                <w:szCs w:val="28"/>
              </w:rPr>
              <w:t xml:space="preserve">1200</w:t>
            </w:r>
            <w:r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нижение уровня преступлений, соверша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мых на улица</w:t>
            </w:r>
            <w:r>
              <w:rPr>
                <w:sz w:val="28"/>
                <w:szCs w:val="28"/>
              </w:rPr>
              <w:t xml:space="preserve">х и других общественных местах</w:t>
            </w:r>
            <w:r>
              <w:rPr>
                <w:sz w:val="28"/>
                <w:szCs w:val="28"/>
              </w:rPr>
              <w:t xml:space="preserve"> до 4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фактов на 10 тысяч жителей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0"/>
        <w:widowControl w:val="false"/>
        <w:pBdr/>
        <w:spacing/>
        <w:ind w:left="4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left="4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numPr>
          <w:ilvl w:val="0"/>
          <w:numId w:val="1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сферы реализации подпрограммы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left="4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подпрограммы 1 - защита жизни, здоровья, прав и свобод, а та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же собственности граждан, интересов общества и государства от преступных и иных противоправных посягательств. Предмет регулирования подпрограммы 1 - система общественных правоотношений в сфере обеспечения общественной безопасности и правопорядка.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действия подпрограммы 1 - совершенствование механизма взаимодействия органов местного самоуправления муниципального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города Новоалтайска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территориальных органов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федеральных органов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сударственной власти, общественных объединений и населения края в сфере профилактики правонарушений и усиления борьбы с преступностью.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оперативной обстановки на территории города Новоалтайска показал, что в 2019 году зарегистрировано 1229 преступлений,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2018 год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– 1157 преступлений. Уровень преступности на одну тысячу человек населения увеличился и составил 16,7 преступлений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(2018 год – 15,7)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структуре преступлений преобладали кражи чужого имущества – 491 или 40,0% от общего количества преступлений (2018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– 416)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Проводимая реализация мероприятий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филактика преступлений и иных правонарушений в городе Новоалтайске на 20</w:t>
      </w:r>
      <w:r>
        <w:rPr>
          <w:sz w:val="28"/>
          <w:szCs w:val="28"/>
        </w:rPr>
        <w:t xml:space="preserve">16-2020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способствовал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активизации профилактической работы. Сократилось количество преступлений, совершённых на улицах города и общественных местах.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ократилось количество преступлений совершё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несовершеннолетними или при их участии.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>
        <w:rPr>
          <w:sz w:val="28"/>
          <w:szCs w:val="28"/>
        </w:rPr>
        <w:t xml:space="preserve">по-прежнему</w:t>
      </w:r>
      <w:r>
        <w:rPr>
          <w:sz w:val="28"/>
          <w:szCs w:val="28"/>
        </w:rPr>
        <w:t xml:space="preserve"> высок процент лиц, совершивших преступления, не имеющих постоянного источника доходов, раннее совершавших преступл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 вновь преступивших закон. Негативно отражается на криминальной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становке пьянство определённой категории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Проводимый мониторинг состояния </w:t>
      </w:r>
      <w:r>
        <w:rPr>
          <w:sz w:val="28"/>
          <w:szCs w:val="28"/>
        </w:rPr>
        <w:t xml:space="preserve">преступности,</w:t>
      </w:r>
      <w:r>
        <w:rPr>
          <w:sz w:val="28"/>
          <w:szCs w:val="28"/>
        </w:rPr>
        <w:t xml:space="preserve"> как на территории 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тайского края, так и в городе Новоалтайске, позволяет определить тенденции развития криминальной обстановки, а также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конкретизировать характер вза</w:t>
      </w:r>
      <w:r>
        <w:rPr>
          <w:sz w:val="28"/>
          <w:szCs w:val="28"/>
          <w:u w:val="none"/>
        </w:rPr>
        <w:t xml:space="preserve">и</w:t>
      </w:r>
      <w:r>
        <w:rPr>
          <w:sz w:val="28"/>
          <w:szCs w:val="28"/>
          <w:u w:val="none"/>
        </w:rPr>
        <w:t xml:space="preserve">модействия территориальных органов федеральных органов исполнительной власти и органов местного самоуправления с целью дальнейшего развития си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темы профилактики правонарушений, определить новые задачи по обеспеч</w:t>
      </w:r>
      <w:r>
        <w:rPr>
          <w:sz w:val="28"/>
          <w:szCs w:val="28"/>
          <w:u w:val="none"/>
        </w:rPr>
        <w:t xml:space="preserve">е</w:t>
      </w:r>
      <w:r>
        <w:rPr>
          <w:sz w:val="28"/>
          <w:szCs w:val="28"/>
          <w:u w:val="none"/>
        </w:rPr>
        <w:t xml:space="preserve">нию личной безопасности гр</w:t>
      </w:r>
      <w:r>
        <w:rPr>
          <w:sz w:val="28"/>
          <w:szCs w:val="28"/>
          <w:u w:val="none"/>
        </w:rPr>
        <w:t xml:space="preserve">аждан, по защите их имущества, общественного порядка и по борьбе с преступностью на территории города, для выполнения которых необходимо использование комплексного подхода. Как показывает практика, решение этой важнейшей социальной задачи только правоохран</w:t>
      </w:r>
      <w:r>
        <w:rPr>
          <w:sz w:val="28"/>
          <w:szCs w:val="28"/>
          <w:u w:val="none"/>
        </w:rPr>
        <w:t xml:space="preserve">и</w:t>
      </w:r>
      <w:r>
        <w:rPr>
          <w:sz w:val="28"/>
          <w:szCs w:val="28"/>
          <w:u w:val="none"/>
        </w:rPr>
        <w:t xml:space="preserve">тельными методами невозможно. </w:t>
      </w:r>
      <w:r>
        <w:rPr>
          <w:sz w:val="28"/>
          <w:szCs w:val="28"/>
          <w:u w:val="none"/>
        </w:rPr>
        <w:t xml:space="preserve">Требуется участие всех сил общества, скоо</w:t>
      </w:r>
      <w:r>
        <w:rPr>
          <w:sz w:val="28"/>
          <w:szCs w:val="28"/>
          <w:u w:val="none"/>
        </w:rPr>
        <w:t xml:space="preserve">р</w:t>
      </w:r>
      <w:r>
        <w:rPr>
          <w:sz w:val="28"/>
          <w:szCs w:val="28"/>
          <w:u w:val="none"/>
        </w:rPr>
        <w:t xml:space="preserve">динированная совместная</w:t>
      </w:r>
      <w:r>
        <w:rPr>
          <w:sz w:val="28"/>
          <w:szCs w:val="28"/>
          <w:u w:val="none"/>
        </w:rPr>
        <w:t xml:space="preserve"> профилактическая работа служб социальной защиты населения, здравоохранения, культуры и образования, общественных организ</w:t>
      </w:r>
      <w:r>
        <w:rPr>
          <w:sz w:val="28"/>
          <w:szCs w:val="28"/>
          <w:u w:val="none"/>
        </w:rPr>
        <w:t xml:space="preserve">а</w:t>
      </w:r>
      <w:r>
        <w:rPr>
          <w:sz w:val="28"/>
          <w:szCs w:val="28"/>
          <w:u w:val="none"/>
        </w:rPr>
        <w:t xml:space="preserve">ций.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Коренного перелома в решении вопросов профилактики правонарушений можно добиться только при обеспечении комплексного подхода, подкрепле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соответствующими финансовыми и материально-техническими ресурс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360"/>
        <w:jc w:val="center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Общая характеристика подпрограммы 1</w:t>
      </w:r>
      <w:r>
        <w:rPr>
          <w:sz w:val="28"/>
          <w:szCs w:val="28"/>
          <w:shd w:val="clear" w:color="auto" w:fill="ffff00"/>
        </w:rPr>
      </w:r>
      <w:r>
        <w:rPr>
          <w:sz w:val="28"/>
          <w:szCs w:val="28"/>
          <w:shd w:val="clear" w:color="auto" w:fill="ffff00"/>
        </w:rPr>
      </w:r>
    </w:p>
    <w:p>
      <w:pPr>
        <w:pStyle w:val="970"/>
        <w:widowControl w:val="false"/>
        <w:pBdr/>
        <w:spacing/>
        <w:ind w:firstLine="360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</w:r>
      <w:r>
        <w:rPr>
          <w:sz w:val="28"/>
          <w:szCs w:val="28"/>
          <w:shd w:val="clear" w:color="auto" w:fill="ffff00"/>
        </w:rPr>
      </w:r>
      <w:r>
        <w:rPr>
          <w:sz w:val="28"/>
          <w:szCs w:val="28"/>
          <w:shd w:val="clear" w:color="auto" w:fill="ffff00"/>
        </w:rPr>
      </w:r>
    </w:p>
    <w:p>
      <w:pPr>
        <w:pStyle w:val="970"/>
        <w:widowControl w:val="false"/>
        <w:pBdr/>
        <w:spacing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При</w:t>
      </w:r>
      <w:r>
        <w:rPr>
          <w:sz w:val="28"/>
          <w:szCs w:val="28"/>
        </w:rPr>
        <w:t xml:space="preserve">оритеты муниципальной политики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реализации подпрограммы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Приоритеты муниципальной политики в сфере профилактики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ступлений и иных правонарушений в городе Новоалтайске на период до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сформулированы с учетом целей и задач, представленных в следующих стратегических документах: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Конституция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"consultantplus://offline/ref=A02C6D6346E215D4B3F6556942E08DB3E44A162B8A86CFD72129759760a8E2J" </w:instrText>
      </w:r>
      <w:r>
        <w:rPr>
          <w:sz w:val="28"/>
          <w:szCs w:val="28"/>
        </w:rPr>
        <w:fldChar w:fldCharType="separate"/>
      </w:r>
      <w:r>
        <w:rPr>
          <w:rStyle w:val="1044"/>
          <w:color w:val="000000"/>
          <w:sz w:val="28"/>
          <w:szCs w:val="28"/>
          <w:u w:val="none"/>
        </w:rPr>
        <w:t xml:space="preserve">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07.02.2011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полиции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"consultantplus://offline/ref=A02C6D6346E215D4B3F6556942E08DB3E44B16288D8BCFD72129759760a8E2J" </w:instrText>
      </w:r>
      <w:r>
        <w:rPr>
          <w:sz w:val="28"/>
          <w:szCs w:val="28"/>
        </w:rPr>
        <w:fldChar w:fldCharType="separate"/>
      </w:r>
      <w:r>
        <w:rPr>
          <w:rStyle w:val="1044"/>
          <w:color w:val="000000"/>
          <w:sz w:val="28"/>
          <w:szCs w:val="28"/>
          <w:u w:val="none"/>
        </w:rPr>
        <w:t xml:space="preserve">Указ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Президента Российской Федерации от 09.10.2007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1351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ждении Концепции демографической политики Российской Федерации на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 до 2025 года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"consultantplus://offline/ref=A02C6D6346E215D4B3F6556942E08DB3E44B11298C80CFD72129759760a8E2J" </w:instrText>
      </w:r>
      <w:r>
        <w:rPr>
          <w:sz w:val="28"/>
          <w:szCs w:val="28"/>
        </w:rPr>
        <w:fldChar w:fldCharType="separate"/>
      </w:r>
      <w:r>
        <w:rPr>
          <w:rStyle w:val="1044"/>
          <w:color w:val="000000"/>
          <w:sz w:val="28"/>
          <w:szCs w:val="28"/>
          <w:u w:val="none"/>
        </w:rPr>
        <w:t xml:space="preserve">постановление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15.04.2014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345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печение общественного порядка и противодействие преступности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Закон Алтайского края от 15.12.2002 № 86-ЗС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системе профилактики безнадзорности и правонарушений несовершеннолетних в Алтайском 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программа 1 направлена на усиление эффективности координации деятельности территориальных органов федеральных органов государственной власти, органов местного самоуправления, институтов гражданского общества в сфере профилактики преступлений и правонарушен</w:t>
      </w:r>
      <w:r>
        <w:rPr>
          <w:sz w:val="28"/>
          <w:szCs w:val="28"/>
        </w:rPr>
        <w:t xml:space="preserve">ий, замедление темпов её роста.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Характеристика цел</w:t>
      </w:r>
      <w:r>
        <w:rPr>
          <w:sz w:val="28"/>
          <w:szCs w:val="28"/>
        </w:rPr>
        <w:t xml:space="preserve">и, задач и конечных результатов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подпрограммы 1 является обеспечение безопасности граждан,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живающих на</w:t>
      </w:r>
      <w:r>
        <w:rPr>
          <w:sz w:val="28"/>
          <w:szCs w:val="28"/>
        </w:rPr>
        <w:t xml:space="preserve"> территории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Укрепление сил и средств субъектов, реализующих мероприятия в области профилактики правонарушений и преступл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Повышение у</w:t>
      </w:r>
      <w:r>
        <w:rPr>
          <w:sz w:val="28"/>
          <w:szCs w:val="28"/>
        </w:rPr>
        <w:t xml:space="preserve">ровня правовой культуры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Профилактика правонарушений среди лиц, склонных к противопра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ному поведению.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результатами реализации подпрограммы 1 к концу 2025</w:t>
      </w:r>
      <w:r>
        <w:rPr>
          <w:sz w:val="28"/>
          <w:szCs w:val="28"/>
        </w:rPr>
        <w:t xml:space="preserve"> года 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нут: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ункционирование не менее </w:t>
      </w:r>
      <w:r>
        <w:rPr>
          <w:sz w:val="28"/>
          <w:szCs w:val="28"/>
        </w:rPr>
        <w:t xml:space="preserve">33 </w:t>
      </w:r>
      <w:r>
        <w:rPr>
          <w:sz w:val="28"/>
          <w:szCs w:val="28"/>
        </w:rPr>
        <w:t xml:space="preserve">кнопок тревожной сигнализации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</w:t>
      </w:r>
      <w:r>
        <w:rPr>
          <w:sz w:val="28"/>
          <w:szCs w:val="28"/>
        </w:rPr>
        <w:t xml:space="preserve">нижение количества преступлений до </w:t>
      </w:r>
      <w:r>
        <w:rPr>
          <w:sz w:val="28"/>
          <w:szCs w:val="28"/>
        </w:rPr>
        <w:t xml:space="preserve">1200</w:t>
      </w:r>
      <w:r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</w:t>
      </w:r>
      <w:r>
        <w:rPr>
          <w:sz w:val="28"/>
          <w:szCs w:val="28"/>
        </w:rPr>
        <w:t xml:space="preserve">нижение уровня преступлений, совершаемых на улицах и других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местах до 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фактов на 10 тысяч жителей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Общая характеристика мероприятий </w:t>
      </w:r>
      <w:r>
        <w:rPr>
          <w:sz w:val="28"/>
          <w:szCs w:val="28"/>
        </w:rPr>
        <w:t xml:space="preserve"> под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сроков и этапов их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мониторинга состояния криминогенной обстановки на территории города Новоалтайска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разработка на этой основе управленческих решений, направленных на совершенствование профилактики преступлений и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расходов за пользование кнопками тревожной сигнализации,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тановленных в школах и дошкольных образовательных учреждениях, а так же на объектах дополнительного образования, финансируемых из муниципального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деятельности народной дружине города Новоалтайска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стимулирование деятельности народных дружинн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участия сотрудников частных охранных предприятий в охране общественн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созданию условий для беспрепятственного проезда оперативных и социальных служб по придомовым территориям к многоэтажным домам. Ликвидация незаконно установленных препятствий, шлагбаумов, бето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блоков и т.д.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разъясн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тельной работы с населением города по вопросам профилактики преступлений, совершаемых в сфере информационных техн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логий.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 приобретение информационных материалов, видеорол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ков, учебных фильмов для организации и проведения в муниципальных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вательных учреждениях профилактических мероприятий и разъяснительной работы об ответственности за совершение против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правных деяний.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раннему выявлению семейного неблагополучия с целью дальнейшего ведения профилактич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ской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и реализация системы мер социального обслуживания, реаб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литации, адаптации и трудоустройства лиц, освободившихся из мест лишения свободы и состоящих под административным надзором, а так же лиц, без определённого места жительства, нуждающихся в государс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венной поддержке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 реализуется в один этап с 2021 по 2025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Общий объём финансовых ресурсов, необходимых для реализации подпрограммы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подпрограммы 1 </w:t>
      </w:r>
      <w:r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608</w:t>
      </w:r>
      <w:r>
        <w:rPr>
          <w:sz w:val="28"/>
          <w:szCs w:val="28"/>
        </w:rPr>
        <w:t xml:space="preserve">,0 тысяч</w:t>
      </w:r>
      <w:r>
        <w:rPr>
          <w:sz w:val="28"/>
          <w:szCs w:val="28"/>
        </w:rPr>
        <w:t xml:space="preserve"> рублей, из них из городского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608</w:t>
      </w:r>
      <w:r>
        <w:rPr>
          <w:sz w:val="28"/>
          <w:szCs w:val="28"/>
        </w:rPr>
        <w:t xml:space="preserve">,0 тысяч рублей, в том числе, по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800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868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905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913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1122,0 тысяч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финансирования подпрограммы 1 подлежит ежегодному уточн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при формировании бюджета города на очередной финан</w:t>
      </w:r>
      <w:r>
        <w:rPr>
          <w:sz w:val="28"/>
          <w:szCs w:val="28"/>
        </w:rPr>
        <w:t xml:space="preserve">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Анализ рисков реализации </w:t>
      </w:r>
      <w:r>
        <w:rPr>
          <w:sz w:val="28"/>
          <w:szCs w:val="28"/>
        </w:rPr>
        <w:t xml:space="preserve">подпрограммы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описание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</w:t>
      </w:r>
      <w:r>
        <w:rPr>
          <w:sz w:val="28"/>
          <w:szCs w:val="28"/>
        </w:rPr>
        <w:t xml:space="preserve"> управления рисками реализации подпрограммы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реализацию подпрограммы 1 в полной мере могут оказывать влияние</w:t>
      </w:r>
      <w:r>
        <w:rPr>
          <w:sz w:val="28"/>
          <w:szCs w:val="28"/>
        </w:rPr>
        <w:t xml:space="preserve"> как внутренние, так и внешние риски, указанные в целом в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Механизм реализации подпрограммы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1 проводится в соответствии с механизмом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ализации </w:t>
      </w:r>
      <w:r>
        <w:rPr>
          <w:sz w:val="28"/>
          <w:szCs w:val="28"/>
        </w:rPr>
        <w:t xml:space="preserve">Программы в целом.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4"/>
          <w:szCs w:val="24"/>
        </w:rPr>
        <w:br w:type="page" w:clear="all"/>
      </w: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преступлений и иных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правонарушений в городе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2021-2025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3"/>
        <w:numPr>
          <w:ilvl w:val="0"/>
          <w:numId w:val="6"/>
        </w:num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2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pBdr/>
        <w:spacing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несовершеннолетних в городе Новоалтайске на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>
        <w:trPr>
          <w:trHeight w:val="67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79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города Новоалтайска.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79" w:type="dxa"/>
            <w:vAlign w:val="top"/>
            <w:textDirection w:val="lrTb"/>
            <w:noWrap w:val="false"/>
          </w:tcPr>
          <w:p>
            <w:pPr>
              <w:pBdr/>
              <w:tabs>
                <w:tab w:val="num" w:leader="none" w:pos="18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убъекты системы профилактики: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tabs>
                <w:tab w:val="num" w:leader="none" w:pos="180"/>
              </w:tabs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Комитет по образованию Администрации города Новоалтайска;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70"/>
              <w:pBdr/>
              <w:tabs>
                <w:tab w:val="num" w:leader="none" w:pos="18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культуре Администрации города Нов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алтайска;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tabs>
                <w:tab w:val="num" w:leader="none" w:pos="18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молодежи Администрации города </w:t>
            </w:r>
            <w:r>
              <w:rPr>
                <w:sz w:val="28"/>
                <w:szCs w:val="28"/>
              </w:rPr>
              <w:t xml:space="preserve">Новоалтайска;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tabs>
                <w:tab w:val="num" w:leader="none" w:pos="18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КГБУСО «Комплексный центр социального обслуживания населения города Новоалтайска»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tabs>
                <w:tab w:val="num" w:leader="none" w:pos="18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г. Новоалтайску (по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гласию)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pBdr/>
              <w:tabs>
                <w:tab w:val="num" w:leader="none" w:pos="18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ФКУ УИИ УФСИН РФ по г. Нов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алтайску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подпрограммы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79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решение проблем профилактики бе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надзорности</w:t>
            </w:r>
            <w:r>
              <w:rPr>
                <w:sz w:val="28"/>
                <w:szCs w:val="28"/>
              </w:rPr>
              <w:t xml:space="preserve"> и правонарушений несовершенноле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них.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подпрогра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мы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79" w:type="dxa"/>
            <w:vAlign w:val="top"/>
            <w:textDirection w:val="lrTb"/>
            <w:noWrap w:val="false"/>
          </w:tcPr>
          <w:p>
            <w:pPr>
              <w:pStyle w:val="1061"/>
              <w:pBdr/>
              <w:spacing w:after="0" w:afterAutospacing="0" w:before="0" w:beforeAutospacing="0"/>
              <w:ind w:left="62"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 Предупреждение безнадзорности, беспризорн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правонарушений и антиобщественных дейс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вий несовершеннолетних, выявление и устран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 причин и</w:t>
            </w:r>
            <w:r>
              <w:rPr>
                <w:sz w:val="28"/>
                <w:szCs w:val="28"/>
              </w:rPr>
              <w:t xml:space="preserve"> условий, способствующих этому.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61"/>
              <w:pBdr/>
              <w:spacing w:after="0" w:afterAutospacing="0" w:before="0" w:beforeAutospacing="0"/>
              <w:ind w:left="62"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</w:t>
            </w:r>
            <w:r>
              <w:rPr>
                <w:sz w:val="28"/>
                <w:szCs w:val="28"/>
              </w:rPr>
              <w:t xml:space="preserve">Обеспечение защиты прав и интересов нес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вершеннолетних, выявление и пресечение случаев вовлечения несовершеннолетних в совершении преступлен</w:t>
            </w:r>
            <w:r>
              <w:rPr>
                <w:sz w:val="28"/>
                <w:szCs w:val="28"/>
              </w:rPr>
              <w:t xml:space="preserve">ий и антиобщественных действий.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61"/>
              <w:pBdr/>
              <w:spacing w:after="0" w:afterAutospacing="0" w:before="0" w:beforeAutospacing="0"/>
              <w:ind w:left="62"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 </w:t>
            </w:r>
            <w:r>
              <w:rPr>
                <w:sz w:val="28"/>
                <w:szCs w:val="28"/>
              </w:rPr>
              <w:t xml:space="preserve">Осуществление профилактической работы с семьями на ранней стадии социального неблагоп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лучия.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61"/>
              <w:pBdr/>
              <w:spacing w:after="0" w:afterAutospacing="0" w:before="0" w:beforeAutospacing="0"/>
              <w:ind w:left="62"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  <w:t xml:space="preserve">   Реализация мероприятий, направленных на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вышение уровня правосознания несовершенноле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них, обеспечение безопасности личности, </w:t>
            </w:r>
            <w:r>
              <w:rPr>
                <w:sz w:val="28"/>
                <w:szCs w:val="28"/>
              </w:rPr>
              <w:t xml:space="preserve">охрану прав детей и подростков.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61"/>
              <w:pBdr/>
              <w:spacing w:after="0" w:afterAutospacing="0" w:before="0" w:beforeAutospacing="0"/>
              <w:ind w:left="62"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     </w:t>
            </w:r>
            <w:r>
              <w:rPr>
                <w:sz w:val="28"/>
                <w:szCs w:val="28"/>
              </w:rPr>
              <w:t xml:space="preserve">Создание условий для организации трудовой занятости, отдыха и оздоровления несовершеннолетних группы социальн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риска.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90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оказатели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79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Доля  безнадзорных детей от общей  численности детского нас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оличество преступлений, совершенных несовершеннолетними</w:t>
            </w:r>
            <w:r>
              <w:rPr>
                <w:sz w:val="28"/>
                <w:szCs w:val="28"/>
              </w:rPr>
              <w:t xml:space="preserve"> в возрасте от 14 до 18 лет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  <w:t xml:space="preserve">   К</w:t>
            </w:r>
            <w:r>
              <w:rPr>
                <w:sz w:val="28"/>
                <w:szCs w:val="28"/>
              </w:rPr>
              <w:t xml:space="preserve">оличество семей, наход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щихс</w:t>
            </w:r>
            <w:r>
              <w:rPr>
                <w:sz w:val="28"/>
                <w:szCs w:val="28"/>
              </w:rPr>
              <w:t xml:space="preserve">я в социально опасном положении.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</w:t>
            </w:r>
            <w:r>
              <w:rPr>
                <w:sz w:val="28"/>
                <w:szCs w:val="28"/>
              </w:rPr>
              <w:t xml:space="preserve">оличество зарегистрированных фактов употребл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несовершеннолетними спиртных напитков и пс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хотропных веществ.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5.    К</w:t>
            </w:r>
            <w:r>
              <w:rPr>
                <w:sz w:val="28"/>
                <w:szCs w:val="28"/>
              </w:rPr>
              <w:t xml:space="preserve">оличество снятых с городского учёта семей, находящихся в социально опасном положении, в св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зи с реабилитацией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зации подпрограммы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79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реализуется  в один этап с 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 по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вания подпрограммы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79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подпрограммы 2 </w:t>
            </w:r>
            <w:r>
              <w:rPr>
                <w:sz w:val="28"/>
                <w:szCs w:val="28"/>
              </w:rPr>
              <w:t xml:space="preserve">за счет средств бюджета городского округа -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2023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  <w:t xml:space="preserve">,0 тысяч рублей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бъемы финансирования подлежат ежегодному уточнению, в соответствии с решением о бюджете городского округа на очередной финансовый год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ты реализации по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программы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79" w:type="dxa"/>
            <w:vAlign w:val="top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  С</w:t>
            </w:r>
            <w:r>
              <w:rPr>
                <w:sz w:val="28"/>
                <w:szCs w:val="28"/>
              </w:rPr>
              <w:t xml:space="preserve">нижение доли безнадзорных детей от общей  численности детского нас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ления до 0,83%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</w:t>
            </w:r>
            <w:r>
              <w:rPr>
                <w:sz w:val="28"/>
                <w:szCs w:val="28"/>
              </w:rPr>
              <w:t xml:space="preserve">нижение количества преступлений, совершенных несовершеннолетними в возрасте от 14 до 18 лет до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  С</w:t>
            </w:r>
            <w:r>
              <w:rPr>
                <w:sz w:val="28"/>
                <w:szCs w:val="28"/>
              </w:rPr>
              <w:t xml:space="preserve">нижение числа семей, наход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щихся в социально опасном положении до 7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С</w:t>
            </w:r>
            <w:r>
              <w:rPr>
                <w:sz w:val="28"/>
                <w:szCs w:val="28"/>
              </w:rPr>
              <w:t xml:space="preserve">нижение количества зарегистрированных фактов употребл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несовершеннолетними спиртных напитков и пс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хотропных веществ до 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Р</w:t>
            </w:r>
            <w:r>
              <w:rPr>
                <w:sz w:val="28"/>
                <w:szCs w:val="28"/>
              </w:rPr>
              <w:t xml:space="preserve">ост количества снятых с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родского учёта семей, находящихся в социально опасном положении, в св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зи с реабилитацией до 4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0"/>
        <w:widowControl w:val="false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Общая характеристика сферы реализации подпрограммы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pBdr/>
        <w:spacing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городе Новоалтайске сложилась система работы по профилактике безна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зорности, правонарушений, организации отдыха и занятости детей, которая включает комплекс мер, направленных на выявление причин и условий, способс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вующих правонарушениям, и осуществлению индивидуально-профилактической работы с несовершеннолетними и семьями, находящимися в социально опасном пол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жении. Деятельность осуществляется в соответствии с Федеральным законом от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.06.1999 №-120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основах системы профила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тики, безнадзорности и правонарушений несовершеннолетних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года количество несовершеннолетних в городе составило 16729 человека. Создан и постоянно обновляется банк данных семей, наход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щихся в социально опасном положении. На 01.01.2017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- 107 семей, в них 186 детей, на 01.01.2018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– 111 сем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, в них 199 детей, на 01.01.2019 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– 97 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мей, в них 191 ребен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, на 01.01.2020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– 90 сем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, в них 178 детей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Анализ городского банка данных показывает, что наблюдается постепе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ное снижение количества семей, находящихся в социально опасном полож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нии. Снижается количество несовершеннолетних, состоящих на учете в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 по делам несовершеннолетних и защите их прав (далее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КДН и ЗП): на 01.01.2017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– 46, на 01.01.2018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– 49, на 01.01.2019 года – 52, на 01.01.2020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– 33. </w:t>
      </w:r>
      <w:r>
        <w:rPr>
          <w:color w:val="000000"/>
          <w:sz w:val="28"/>
          <w:szCs w:val="28"/>
        </w:rPr>
        <w:t xml:space="preserve">Согласно статистическим данным в г</w:t>
      </w:r>
      <w:r>
        <w:rPr>
          <w:color w:val="000000"/>
          <w:sz w:val="28"/>
          <w:szCs w:val="28"/>
        </w:rPr>
        <w:t xml:space="preserve">ороде</w:t>
      </w:r>
      <w:r>
        <w:rPr>
          <w:color w:val="000000"/>
          <w:sz w:val="28"/>
          <w:szCs w:val="28"/>
        </w:rPr>
        <w:t xml:space="preserve"> Новоалтайске </w:t>
      </w:r>
      <w:r>
        <w:rPr>
          <w:color w:val="000000"/>
          <w:sz w:val="28"/>
          <w:szCs w:val="28"/>
        </w:rPr>
        <w:t xml:space="preserve">по итогам</w:t>
      </w:r>
      <w:r>
        <w:rPr>
          <w:color w:val="000000"/>
          <w:sz w:val="28"/>
          <w:szCs w:val="28"/>
        </w:rPr>
        <w:t xml:space="preserve"> 2019 года наблюдалось снижение количества преступлений, совершенных несовершенн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летними (2016 год – 48 преступлений, 2017 год - 45, 2018 год – 29, 2019 год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22 преступл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ния). Данные показатели говорят</w:t>
      </w:r>
      <w:r>
        <w:rPr>
          <w:sz w:val="28"/>
          <w:szCs w:val="28"/>
        </w:rPr>
        <w:t xml:space="preserve"> об эффективности профилактических 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приятий, проводимых в рамках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преступлений и иных правонарушений в городе Новоалтайске на 2016-2020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по итогам реализации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преступлений и иных правонарушений в городе Новоалтайске на 2016-2020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отмечается снижение уровня подростковой преступности. В то же время, несмотря на положительную динамику, негативные социальные факторы по-прежнему остаются основными причинами формирования социально – дев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антного поведения подростков. Низкий  уровень и качество жизни семей, бе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работица родителей, невыполнение</w:t>
      </w:r>
      <w:r>
        <w:rPr>
          <w:sz w:val="28"/>
          <w:szCs w:val="28"/>
        </w:rPr>
        <w:t xml:space="preserve"> родителями обязанностей по воспитанию детей, вовлечение подростков в преступную деятельность со стороны взрослых лиц, а также самовольные уходы несовершеннолетних из учреждений, семей, бродяжничество, основные негативные процессы, которые обуславливают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ступность несовершеннолетних.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профилактических мероприятий, проводимых как с ребенком, так и с родителями, разрабатываются и внедряются в практику новые технологии по работе с семьей и детьми, наход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щимися в трудной жизненной ситуации и социально опасном положении, которые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лучают соответствующее социальное сопровождение.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num" w:leader="none" w:pos="18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субъектов городской системы профилактики осуществл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на принципе межведомственного взаимодействия, который определяет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рядок формирования отношений между субъектами системы профилактики,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самоуправления, общественных формирований посредством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гласования планов мероприятий и действий по их реализации, контроля за их выполнением, обмена и передачи информации; на принципе распределения сфер ответственности, который предполагает конкретных исполнителей, закр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пление за ними определенного круга задач в рамках ведомственной компете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ции; принцип комплексности, который предполагает реализацию системного подхода в работе с несовершеннолетними и семьями, находящимися в социал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 опасной ситуации и воздействие на них, с учетом всех аспектов: экономич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ских, правовых, социальных, медицинских, педагогических, психологич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ских, культурных.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num" w:leader="none" w:pos="18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системы профилактики безнадзорности и правонаруш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несовершеннолетних города Новоалтайска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на основе указанных принц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пов предусматривает программные методы в реализации профилактической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Накопленный опыт профилактики безнадзорности и правонарушений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подтверждает целесообразность продолжения работы в ра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ках реализации программных мероприятий городского значения.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программы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Приоритеты муниципальной политики в сфере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подпрограммы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политики в сфере профилактики безнадзорн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</w:t>
      </w:r>
      <w:r>
        <w:rPr>
          <w:sz w:val="28"/>
          <w:szCs w:val="28"/>
        </w:rPr>
        <w:t xml:space="preserve"> и правонарушений несовершеннолетних сформированы с учетом целей и задач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представлены в следующих стратегических документах: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numPr>
          <w:ilvl w:val="1"/>
          <w:numId w:val="6"/>
        </w:numPr>
        <w:pBdr/>
        <w:tabs>
          <w:tab w:val="clear" w:leader="none" w:pos="1440"/>
        </w:tabs>
        <w:spacing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онституция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numPr>
          <w:ilvl w:val="1"/>
          <w:numId w:val="6"/>
        </w:numPr>
        <w:pBdr/>
        <w:tabs>
          <w:tab w:val="clear" w:leader="none" w:pos="1440"/>
        </w:tabs>
        <w:spacing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24.06.1999 года № 120-ФЗ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основах системы профилактики безнадзорности и правонарушений несовершенноле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num" w:leader="none" w:pos="720"/>
        </w:tabs>
        <w:spacing/>
        <w:ind w:right="0"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Федеральный Закон от 24.07.1998 года № 124-ФЗ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основных 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рантиях прав ребенка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right="0" w:firstLine="36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Постановление Правительства РФ от 06.11.2013 года № 995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римерного положения о комиссиях по делам несовершенноле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них и защите их прав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right="0"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Закон Алтайского края от 15.12.2002 года № 86-ЗС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системе профилактики безнадзорности и правонарушений несовершеннолетних в 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тайском 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num" w:leader="none" w:pos="720"/>
        </w:tabs>
        <w:spacing/>
        <w:ind w:right="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  Закон Алтайского края от 07.12.2009 года № 99-ЗС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огранич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 пребывания несовершеннолетних в общественных местах на территории Алтайского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муниципальной политики в сфере профилактики безнадзорности  и правонарушений несовершеннолетних являю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редупреждение безнадзорности, беспризорности, правонарушений и антиобщественных действий несовершеннолетних, выявление и устранение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чин и условий, способствующих этому;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обеспечение защиты прав и законных  интересов несовершеннолетних;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социально-педагогическая реабилитация несовершеннолетних, наход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щихся в социально опасном положении;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выявление и пресечение случаев вовлечения несовершеннолетних в совершение преступлений и антиобществе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действий.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Характеристика цел</w:t>
      </w:r>
      <w:r>
        <w:rPr>
          <w:sz w:val="28"/>
          <w:szCs w:val="28"/>
        </w:rPr>
        <w:t xml:space="preserve">и, задач и конечных результатов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программы 2 является комплексное решение проблем профилактики безнадзорности и пр</w:t>
      </w:r>
      <w:r>
        <w:rPr>
          <w:sz w:val="28"/>
          <w:szCs w:val="28"/>
        </w:rPr>
        <w:t xml:space="preserve">авонарушений несовершенноле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подпрограммы 2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60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Предупреждение безнадзорности, беспризорности правонарушений и антиобщественных действий несовершеннолетних, выявление и устранение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чин и</w:t>
      </w:r>
      <w:r>
        <w:rPr>
          <w:sz w:val="28"/>
          <w:szCs w:val="28"/>
        </w:rPr>
        <w:t xml:space="preserve"> условий, способствующих этому.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защиты прав и интересов несовершеннолетних, выявление и пресечение случаев вовлечения несовершеннолетних в совершении преступл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ий и антиобщественных действий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61"/>
        <w:pBdr/>
        <w:spacing w:after="0" w:afterAutospacing="0" w:before="0" w:beforeAutospacing="0"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профилактической работы с семьями на ранней стадии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циального неблагополучия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61"/>
        <w:pBdr/>
        <w:spacing w:after="0" w:afterAutospacing="0" w:before="0" w:beforeAutospacing="0"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мероприятий, направленных на повышение уровня правосозн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несовершеннолетних, обеспечение безопасности личности, охрану прав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 и подростков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61"/>
        <w:pBdr/>
        <w:spacing w:after="0" w:afterAutospacing="0" w:before="0" w:beforeAutospacing="0"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условий для организации трудовой занятости, отдыха и оздоро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несовершеннолетних группы социального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left" w:leader="none" w:pos="181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выполнение мероприятий подпрограммы 2 в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зволит достичь следующих результатов: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нижение доли безнадзорных детей от общей численности детского нас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ления до 0,83%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нижение количества преступлений, совершенных несовершеннолетними в возрасте от 14 до 18 лет до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</w:t>
      </w:r>
      <w:r>
        <w:rPr>
          <w:sz w:val="28"/>
          <w:szCs w:val="28"/>
        </w:rPr>
        <w:t xml:space="preserve">нижение числа семей, наход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щихся в социально опасном положении до 7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</w:t>
      </w:r>
      <w:r>
        <w:rPr>
          <w:sz w:val="28"/>
          <w:szCs w:val="28"/>
        </w:rPr>
        <w:t xml:space="preserve">нижение количества зарегистрированных фактов употребл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несовершеннолетними спиртных напитков и пс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хотропных веществ до 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</w:t>
      </w:r>
      <w:r>
        <w:rPr>
          <w:sz w:val="28"/>
          <w:szCs w:val="28"/>
        </w:rPr>
        <w:t xml:space="preserve">ост количества снятых с городского учёта семей,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ходящихся в социально опасном положении, в св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зи с реабилитацией до 4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Общая характеристика мероприятий подпрограммы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сроков и этапов их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num" w:leader="none" w:pos="18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num" w:leader="none" w:pos="18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конечных результатов подпрограммы 2 необходимо осуществление органами системы профилактики города мероприятий,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ленных на создание условий для социальной, психолого–педагогической, мед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ко–социальной и иной необходимой помощи и реабилитации несовершенн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летних, находящихся в социально опасном положении, а также создание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вий для эффективного взаимодействия в профилактической работе по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преждению преступлений,  алкоголизации и наркотизации подростковой среды.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реализуется в один этап с 2021 по 2025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num" w:leader="none" w:pos="18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Общий объём финансовых ресурсов, необходим</w:t>
      </w:r>
      <w:r>
        <w:rPr>
          <w:sz w:val="28"/>
          <w:szCs w:val="28"/>
        </w:rPr>
        <w:t xml:space="preserve">ых для реализации подпрограммы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tabs>
          <w:tab w:val="num" w:leader="none" w:pos="18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финансирования подпрограммы 2 являются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ства городского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подпрограммы 2</w:t>
      </w:r>
      <w:r>
        <w:rPr>
          <w:sz w:val="28"/>
          <w:szCs w:val="28"/>
        </w:rPr>
        <w:t xml:space="preserve"> за счет средств бюджета городского округа</w:t>
      </w:r>
      <w:r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 в том числе</w:t>
      </w:r>
      <w:r>
        <w:rPr>
          <w:sz w:val="28"/>
          <w:szCs w:val="28"/>
        </w:rPr>
        <w:t xml:space="preserve"> по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80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80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80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80</w:t>
      </w:r>
      <w:r>
        <w:rPr>
          <w:sz w:val="28"/>
          <w:szCs w:val="28"/>
        </w:rPr>
        <w:t xml:space="preserve">,0 тысяч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подпрограммы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подлежат ежегодному уточн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в соответствии с решением о бюджете городского округа на очередной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Анализ рисков реализации </w:t>
      </w:r>
      <w:r>
        <w:rPr>
          <w:sz w:val="28"/>
          <w:szCs w:val="28"/>
        </w:rPr>
        <w:t xml:space="preserve">подпрограммы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описание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</w:t>
      </w:r>
      <w:r>
        <w:rPr>
          <w:sz w:val="28"/>
          <w:szCs w:val="28"/>
        </w:rPr>
        <w:t xml:space="preserve"> управления рисками реализации подпрограммы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подпрограммы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в полной мере могут оказывать влияние как внутренние, так и внешние риски, указанные в целом в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Механизм реализации подпрограммы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проводится в соответствии с механизмом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ализации Программы в целом.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709"/>
        <w:jc w:val="both"/>
        <w:rPr>
          <w:sz w:val="28"/>
          <w:szCs w:val="28"/>
        </w:rPr>
        <w:sectPr>
          <w:footerReference w:type="even" r:id="rId12"/>
          <w:footnotePr/>
          <w:endnotePr/>
          <w:type w:val="nextPage"/>
          <w:pgSz w:h="16838" w:orient="portrait" w:w="11906"/>
          <w:pgMar w:top="567" w:right="567" w:bottom="851" w:left="1701" w:header="720" w:footer="720" w:gutter="0"/>
          <w:pgNumType w:start="1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878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8789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</w:t>
      </w:r>
      <w:r>
        <w:rPr>
          <w:sz w:val="28"/>
          <w:szCs w:val="28"/>
        </w:rPr>
        <w:t xml:space="preserve">Профилактика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8789"/>
        <w:rPr>
          <w:sz w:val="28"/>
          <w:szCs w:val="28"/>
        </w:rPr>
      </w:pPr>
      <w:r>
        <w:rPr>
          <w:sz w:val="28"/>
          <w:szCs w:val="28"/>
        </w:rPr>
        <w:t xml:space="preserve">преступлений и иных правонарушений в городе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8789"/>
        <w:rPr>
          <w:sz w:val="28"/>
          <w:szCs w:val="28"/>
        </w:rPr>
      </w:pPr>
      <w:r>
        <w:rPr>
          <w:sz w:val="28"/>
          <w:szCs w:val="28"/>
        </w:rPr>
        <w:t xml:space="preserve">Новоалтайске на 2021-2025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87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индикаторов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tbl>
      <w:tblPr>
        <w:tblW w:w="14516" w:type="dxa"/>
        <w:jc w:val="center"/>
        <w:tblInd w:w="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2554"/>
        <w:gridCol w:w="2394"/>
        <w:gridCol w:w="1674"/>
        <w:gridCol w:w="786"/>
        <w:gridCol w:w="787"/>
        <w:gridCol w:w="787"/>
        <w:gridCol w:w="787"/>
        <w:gridCol w:w="787"/>
        <w:gridCol w:w="3960"/>
      </w:tblGrid>
      <w:tr>
        <w:trPr>
          <w:cantSplit/>
          <w:tblHeader/>
        </w:trPr>
        <w:tc>
          <w:tcPr>
            <w:tcBorders/>
            <w:tcW w:w="2554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(показателя)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/>
            <w:tcW w:w="9568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76"/>
          <w:tblHeader/>
        </w:trPr>
        <w:tc>
          <w:tcPr>
            <w:tcBorders/>
            <w:tcW w:w="2554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393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с разбивкой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vMerge w:val="restart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blHeader/>
        </w:trPr>
        <w:tc>
          <w:tcPr>
            <w:tcBorders/>
            <w:tcW w:w="2554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blHeader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несовершеннолетних в городе Новоалтайске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>
              <w:left w:val="single" w:color="auto" w:sz="4" w:space="0"/>
            </w:tcBorders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в городе Новоалтайске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4" w:space="0"/>
            </w:tcBorders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 зарегистрированных преступлений на 10 тысяч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нижение уровня  преступности до 160 преступлений на 10 тысяч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>
              <w:left w:val="single" w:color="auto" w:sz="4" w:space="0"/>
            </w:tcBorders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и правонарушений несовершеннолетних в городе Новоалтайске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 преступности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преступлений на 10 тысяч несовершеннолетних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нижение уровня преступности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совершеннолетних до 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 тысяч несовершеннолетних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граждан, прож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вающих на территории города Новоалтайска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5"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сил и средств субъектов, реализующих мероприятия в области профилактики правонарушений и преступл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тревожной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тревожной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Повышение уровня правовой культуры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зарегис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рированных 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преступлений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Профилактика правонарушений среди лиц, склонных к противоправному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 преступлений, совершаемых на улицах и в других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зарегистрированных преступлений, совершаемых на улицах и в других общественных местах на 10 тысяч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нижение уровня преступлений, соверша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на улицах и других общественных местах до 40 фактов на 10 тысяч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2: Комплексное решение проблем профилактики безнадзорности и правонарушений несовершенноле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Предупреждение безнадзорности, беспризорности правонарушений и антиобщественных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вий несовершеннолетних, выявление и устран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причин и условий, способствующих этому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числа семей,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социально опасном положении до 73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Обеспечение защиты прав и интересов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вершеннолетних, выявление и пресечение случаев вовлечения несовершеннолетних в совершении преступлений и антиобщественных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преступлений, совершенных несовершеннолетними в возрасте от 14 до 18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преступлений, совершенных несовершеннолетними в возрасте от 14 до 18 лет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Осуществление профилактической работы с семьями на ранней стадии социального неблагоп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безнадзорных детей от общей численности детского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нижение доли безнадзорных детей от общей  численности детского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до 0,83%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 Реализация мероприятий, направленных на повышение уровня правосознания несовершенноле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них, обеспечение безопасности личности, охрану прав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зарегистрированных фактов 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несовершеннолетними спиртных напитков и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нижение количества зарегистрированных фактов 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несовершеннолетними спиртных напитков и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хотропных веществ до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451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 Создание условий для организации трудовой занятости, отдыха и оздоровления несовершеннолетних группы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255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снятых с городского учёта семей, находящихся в социально опасном положении, 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 с реабилитацией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39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6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87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60" w:type="dxa"/>
            <w:vAlign w:val="center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 количества снятых с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родского учёта семей, находящихся в социально опасном положении, 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 с реабилитацией до 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70"/>
        <w:pBdr/>
        <w:spacing/>
        <w:ind/>
        <w:jc w:val="right"/>
        <w:rPr/>
        <w:sectPr>
          <w:headerReference w:type="default" r:id="rId9"/>
          <w:headerReference w:type="even" r:id="rId10"/>
          <w:headerReference w:type="first" r:id="rId11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h="11906" w:orient="landscape" w:w="16838"/>
          <w:pgMar w:top="851" w:right="567" w:bottom="851" w:left="1701" w:header="720" w:footer="720" w:gutter="0"/>
          <w:cols w:num="1" w:sep="0" w:space="720" w:equalWidth="1"/>
          <w:titlePg/>
        </w:sectPr>
      </w:pPr>
      <w:r/>
      <w:r/>
    </w:p>
    <w:p>
      <w:pPr>
        <w:pStyle w:val="970"/>
        <w:pBdr/>
        <w:spacing/>
        <w:ind w:firstLine="708" w:left="9204"/>
        <w:rPr/>
      </w:pPr>
      <w:r/>
      <w:r/>
    </w:p>
    <w:p>
      <w:pPr>
        <w:pStyle w:val="970"/>
        <w:widowControl w:val="false"/>
        <w:pBdr/>
        <w:spacing/>
        <w:ind w:firstLine="8789"/>
        <w:outlineLvl w:val="2"/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8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«Профилактика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8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преступлений и иных правонарушений в городе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8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Новоалтайске на 2021-2025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87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Профилактика преступлений и иных правонарушений в городе Новоалтайске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37" w:type="dxa"/>
        <w:jc w:val="center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2"/>
        <w:gridCol w:w="2788"/>
        <w:gridCol w:w="1076"/>
        <w:gridCol w:w="2977"/>
        <w:gridCol w:w="877"/>
        <w:gridCol w:w="851"/>
        <w:gridCol w:w="850"/>
        <w:gridCol w:w="851"/>
        <w:gridCol w:w="1047"/>
        <w:gridCol w:w="992"/>
        <w:gridCol w:w="1756"/>
      </w:tblGrid>
      <w:tr>
        <w:trPr>
          <w:tblHeader/>
        </w:trPr>
        <w:tc>
          <w:tcPr>
            <w:tcBorders/>
            <w:tcW w:w="672" w:type="dxa"/>
            <w:vAlign w:val="center"/>
            <w:vMerge w:val="restart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задача, меропри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соисполнитель, участник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/>
            <w:tcW w:w="546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vMerge w:val="restart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blHeader/>
        </w:trPr>
        <w:tc>
          <w:tcPr>
            <w:tcBorders/>
            <w:tcW w:w="672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blHeader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11"/>
            <w:tcBorders/>
            <w:tcW w:w="1473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Профилактика преступлений и иных правонарушений в городе Новоалтайске  на 20</w:t>
            </w: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Обеспечение безопасности граждан</w:t>
            </w:r>
            <w:r>
              <w:rPr>
                <w:sz w:val="24"/>
                <w:szCs w:val="24"/>
              </w:rPr>
              <w:t xml:space="preserve">, профилактика безнадзорности и правонарушений несовершеннолетних в городе Новоалтайске</w:t>
            </w:r>
            <w:r>
              <w:rPr>
                <w:sz w:val="24"/>
                <w:szCs w:val="24"/>
              </w:rPr>
              <w:t xml:space="preserve"> Алтайского края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города; Отдел по делам молодёжи Админ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страции города; 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города;  ОМВД     России            по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Новоалтайску (по согласов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нию); Администрация города; Комитет по ЖКГХЭТС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рода; КГБУСО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Комплек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ный центр социального обслуживания населения города Новоалтайска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гласованию)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Центр занятости населения города Новоалтайска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согласов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5008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11"/>
            <w:tcBorders/>
            <w:tcW w:w="1473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Профилактика преступлений и иных правонарушений в городе Новоалтайске на 20</w:t>
            </w: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90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опасности граждан, проживающих на терр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тории города Новоа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тайска</w:t>
            </w:r>
            <w:r>
              <w:rPr>
                <w:sz w:val="24"/>
                <w:szCs w:val="24"/>
              </w:rPr>
              <w:t xml:space="preserve"> Алтайского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</w:t>
            </w:r>
            <w:r>
              <w:rPr>
                <w:sz w:val="24"/>
                <w:szCs w:val="24"/>
              </w:rPr>
              <w:t xml:space="preserve">; 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города; Отдел по делам молодёжи Админ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страции города; 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города, ОМВД        России        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Новоалтайску (по согласов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нию); Комитет по ЖКГХЭТС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28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сил и средств субъектов, р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ализующих мероприятия в области профилактики правонарушений и преступл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города; Отдел по делам молодёжи Админ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страции города; 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города; ОМВД             России    по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Новоалтайску (по согласов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нию); Администрация города; Комитет по ЖКГХЭТС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868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0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та расходов за пользов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ние кнопками трево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ной сигнализации, уст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новленных в школах и дошкольных образовательных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ниях, а так же на объектах дополнительного образ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вания, финансируемых из муниципального бюдж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73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195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действие деятельности народной дружине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Новоалтайска, стим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лирование деятельности народных дружинн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20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правовой культуры гр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    России           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Новоалтайску (по согласованию); 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и проведение разъя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нительной работы с населением города по вопросам профилактики преступлений, сове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шаемых в сфере инфо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мационных технол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ОМВД       России         по  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г. Новоалтайску (по соглас</w:t>
            </w:r>
            <w:r>
              <w:rPr>
                <w:sz w:val="24"/>
                <w:szCs w:val="24"/>
                <w:highlight w:val="none"/>
              </w:rPr>
              <w:t xml:space="preserve">о</w:t>
            </w:r>
            <w:r>
              <w:rPr>
                <w:sz w:val="24"/>
                <w:szCs w:val="24"/>
                <w:highlight w:val="none"/>
              </w:rPr>
              <w:t xml:space="preserve">ванию); </w:t>
            </w:r>
            <w:r>
              <w:rPr>
                <w:sz w:val="24"/>
                <w:szCs w:val="24"/>
                <w:highlight w:val="none"/>
              </w:rPr>
              <w:t xml:space="preserve">Администрация города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методических рекомендаций, видеорол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ков, учебных фильмов через информационную систему АИС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Сетевой город. Образование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на официальных сайтах образовательных организациях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ведени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в муниципал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ных образовательных учреждениях профилактических мер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приятий и разъяснител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ной работы об ответственности за совершение против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правных деяний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75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правонарушений среди лиц, склонных к противопра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ному поведению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города; 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города;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г.Новоалтайску (по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гласованию); КГБУСО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Комплек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ный центр социального  обслуживания населения города Новоалтайска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гласованию)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КГКУ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Центр занятости населения города Новоалтайска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согласов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дение мероприятий по раннему выявлению 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мейного неблагополучия с целью дальнейшего ведения профилактич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города; 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города; ОМВД      России          по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Новоалтайску (по согласов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ботка и реализация си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темы мер социального обслуживания, реабил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тации, адаптации и тр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доустройства лиц, осв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бодившихся из мест лишения свободы и состоящих под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ративным надзором, а так же лиц, без опред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лённого места жительс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ва, нуждающихся в государственной поддер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     России           по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Новоалтайску (по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гласованию); КГБУСО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Комплек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ный центр социального обслуживания населения города Новоалтайска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гласованию)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Центр занятости населения города Новоалтайска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согласов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11"/>
            <w:tcBorders/>
            <w:tcW w:w="1473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Профилактика безнадзорности и правонарушений несовершеннолетних в городе Новоалтайске на 20</w:t>
            </w: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76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решение проблем проф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лактики безнадзорности и правонарушений нес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вершеннолетних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Комитет по культуре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города; 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города; </w:t>
            </w:r>
            <w:r>
              <w:rPr>
                <w:sz w:val="24"/>
                <w:szCs w:val="24"/>
              </w:rPr>
              <w:t xml:space="preserve">КГБУСО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Комплексный центр социального обслуживания населения города 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воалтайска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согласованию); субъекты системы профилактики, </w:t>
            </w:r>
            <w:r>
              <w:rPr>
                <w:sz w:val="24"/>
                <w:szCs w:val="24"/>
              </w:rPr>
              <w:t xml:space="preserve">ФКУ УИИ УФСИН             РФ      по г</w:t>
            </w:r>
            <w:r>
              <w:rPr>
                <w:sz w:val="24"/>
                <w:szCs w:val="24"/>
              </w:rPr>
              <w:t xml:space="preserve">. Нов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алтайску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25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 безнадзорности, беспризорности, прав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нарушений и антиобщ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ственных действий несовершеннолетних, выявление причин и усл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вий, способствующих этому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города; 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52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и проведение проверок органов и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реждений системы 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филактики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70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и проведение городского смотра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Лучшее образовател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ное учреждение по 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филактике безнадзорн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сти и правонарушений нес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вершеннолетних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52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ведение на территории города ежегодного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крытого Чемпионата Алтайского края по брейк–дансу и хип-х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Мы выбираем жизнь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25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Обеспечение защиты прав и интер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сов несовершенноле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них, выявление и прес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чение случаев вовлеч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несовершенноле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них в совершение преступлений и антиобщ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ственные действия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КГБУСО «Комплексный центр социального обслуживания населения города 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воалтайска» (по согласованию); 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города, субъекты системы профилактики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/>
          </w:p>
        </w:tc>
      </w:tr>
      <w:tr>
        <w:trPr/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и проведение межведомственных комплексных операций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города, субъекты системы профилактики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top"/>
            <w:textDirection w:val="lrTb"/>
            <w:noWrap w:val="false"/>
          </w:tcPr>
          <w:p>
            <w:pPr>
              <w:pStyle w:val="97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/>
          </w:p>
        </w:tc>
      </w:tr>
      <w:tr>
        <w:trPr>
          <w:trHeight w:val="1645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и проведение рейдовых мероприятий «Социальный патруль», «Ночной патруль»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города, субъекты системы профилактики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30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Осуществл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 профилактической работы с семьями на ранней стадии социального н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благополучия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КГБУСО «Комплексный центр социального обслуживания населения города 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воалтайска» (по согласованию);</w:t>
            </w:r>
            <w:r>
              <w:rPr>
                <w:sz w:val="24"/>
                <w:szCs w:val="24"/>
              </w:rPr>
              <w:t xml:space="preserve"> субъекты системы профилактики; 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05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деятельности мобильной группы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Субъекты системы проф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лактики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профилактич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ской работы с семьями и несовершеннолетними в рамках технологии «Р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бота со случаем»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КГБУСО «Комплексный центр социального обслуживания населения города 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воалтайска»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и проведение заседаний комиссии по делам несовершенн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летних и защите их прав Адм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нистрации города Нов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алтайска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55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напра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ленных на повышение уровня правосознания несовершеннолетних, обеспечение безопасн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сти личности, охрану прав детей и подростков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КГБУСО «Комплексный центр социального обслуживания населения города 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воалтайска» (по согласованию); ОМВД России по г. Новоалтайску (по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гласию); ФКУ УИИ УФСИН        РФ             по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алтайску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60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4.1.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ведение лекций, лект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риев для подростков и родит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г. Новоалтайску (по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гласию); ФКУ УИИ УФСИН              РФ       по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алтайску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19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4.2.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работы по предоставлению юридич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ской помощи несове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шеннолетним и их род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телям по реализации Семейного Кодекса РФ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КГБУСО «Комплексный центр социального обслуживания населения города 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воалтайска»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30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ловий для организации трудовой занятости,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дыха и оздоровления н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совершеннолетних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группы ри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города; 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города; субъекты системы профилактики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45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и проведение летней компании озд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ровления несоверше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нолетних, состоящих на учёте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поездок на базу</w:t>
            </w:r>
            <w:r>
              <w:rPr>
                <w:sz w:val="24"/>
                <w:szCs w:val="24"/>
              </w:rPr>
              <w:t xml:space="preserve"> на территории «Сосновый бор»</w:t>
            </w:r>
            <w:r>
              <w:rPr>
                <w:sz w:val="24"/>
                <w:szCs w:val="24"/>
              </w:rPr>
              <w:t xml:space="preserve"> в рамках программы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Выходного дня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70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низация и проведение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Вечерней гостиной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на базе МДОУ ДОД ДЮЦ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2"/>
        </w:trPr>
        <w:tc>
          <w:tcPr>
            <w:tcBorders/>
            <w:tcW w:w="67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788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ведение Новогодних праз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7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города;субъекты системы профилактики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047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56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70"/>
        <w:widowControl w:val="false"/>
        <w:pBdr/>
        <w:spacing/>
        <w:ind/>
        <w:rPr/>
      </w:pPr>
      <w:r/>
      <w:r/>
    </w:p>
    <w:p>
      <w:pPr>
        <w:pStyle w:val="970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Принятые сокращения: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Комитет Администрации города по ЖКГХЭТС – Комитет Администрации города по жилищному, коммунальному, газ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вому хозяйству, энергетике, транспорту и строительству;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Субъекты системы профилактики: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Администрации города - Комитет по образованию Администрации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ОДМ Администрации города - Отдел по делам мол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дёжи комитета по социальным вопросам Администрации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КДН и ЗП Администрации города – комиссия по делам несовершеннолетних и защите их прав Администрации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ОМВД России по городу Новоалтайску - отдел Министерства внутренних дел России по городу Новоалтайску;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УИИ УФСИН РФ по г. Новоалтайску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филиала казённого учреждения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Уголовно – исполнительная инспекция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Управления Федеральной службы исполнения наказания Российской Федерации по г. Новоалтайску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УСО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Комплексный центр социального обслуживания населения города Новоалтайска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- Краевое государственное </w:t>
      </w:r>
      <w:r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учреждение социального обслуживания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Комплексный центр социального обслуживания населения города Новоалтайска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КГУ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ентр </w:t>
      </w:r>
      <w:r>
        <w:rPr>
          <w:sz w:val="28"/>
          <w:szCs w:val="28"/>
        </w:rPr>
        <w:t xml:space="preserve">занятости</w:t>
      </w:r>
      <w:r>
        <w:rPr>
          <w:sz w:val="28"/>
          <w:szCs w:val="28"/>
        </w:rPr>
        <w:t xml:space="preserve"> населения города Новоалтайска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- Краевое государственное учреждение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Центр занятости насел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города Новоалтайска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rPr/>
      </w:pPr>
      <w:r/>
      <w:r/>
    </w:p>
    <w:p>
      <w:pPr>
        <w:pStyle w:val="970"/>
        <w:widowControl w:val="false"/>
        <w:pBdr/>
        <w:spacing/>
        <w:ind/>
        <w:rPr/>
        <w:sectPr>
          <w:footerReference w:type="even" r:id="rId16"/>
          <w:footnotePr/>
          <w:endnotePr/>
          <w:type w:val="continuous"/>
          <w:pgSz w:h="11906" w:orient="landscape" w:w="16838"/>
          <w:pgMar w:top="851" w:right="567" w:bottom="1701" w:left="1418" w:header="720" w:footer="720" w:gutter="0"/>
          <w:cols w:num="1" w:sep="0" w:space="720" w:equalWidth="1"/>
        </w:sectPr>
      </w:pPr>
      <w:r/>
      <w:r/>
    </w:p>
    <w:p>
      <w:pPr>
        <w:pStyle w:val="970"/>
        <w:widowControl w:val="false"/>
        <w:pBdr/>
        <w:spacing/>
        <w:ind w:firstLine="3828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«Профилактика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преступлений и иных правонарушений в городе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Новоалтайске на 2021-2025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pBdr/>
        <w:spacing/>
        <w:ind w:firstLine="382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center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Объем финансовых ресурсов 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  <w:shd w:val="clear" w:color="auto" w:fill="ffff00"/>
        </w:rPr>
      </w:r>
      <w:r>
        <w:rPr>
          <w:sz w:val="28"/>
          <w:szCs w:val="28"/>
          <w:shd w:val="clear" w:color="auto" w:fill="ffff00"/>
        </w:rPr>
      </w:r>
    </w:p>
    <w:p>
      <w:pPr>
        <w:pStyle w:val="970"/>
        <w:widowControl w:val="false"/>
        <w:pBdr/>
        <w:spacing/>
        <w:ind/>
        <w:jc w:val="center"/>
        <w:rPr>
          <w:shd w:val="clear" w:color="auto" w:fill="ffff00"/>
        </w:rPr>
      </w:pPr>
      <w:r>
        <w:rPr>
          <w:shd w:val="clear" w:color="auto" w:fill="ffff00"/>
        </w:rPr>
      </w:r>
      <w:r>
        <w:rPr>
          <w:shd w:val="clear" w:color="auto" w:fill="ffff00"/>
        </w:rPr>
      </w:r>
      <w:r>
        <w:rPr>
          <w:shd w:val="clear" w:color="auto" w:fill="ffff00"/>
        </w:rPr>
      </w:r>
    </w:p>
    <w:tbl>
      <w:tblPr>
        <w:tblW w:w="0" w:type="auto"/>
        <w:tblInd w:w="5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4140"/>
        <w:gridCol w:w="900"/>
        <w:gridCol w:w="900"/>
        <w:gridCol w:w="900"/>
        <w:gridCol w:w="900"/>
        <w:gridCol w:w="900"/>
        <w:gridCol w:w="999"/>
      </w:tblGrid>
      <w:tr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и направления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расходов тысяч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финансовых затрат,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985,0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1202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985,0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1202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(на условиях софинанс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рования)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27"/>
        </w:trPr>
        <w:tc>
          <w:tcPr>
            <w:tcBorders>
              <w:top w:val="single" w:color="auto" w:sz="4" w:space="0"/>
              <w:left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(на условиях соф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нансирования)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Капитальные вложения,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0"/>
        </w:trPr>
        <w:tc>
          <w:tcPr>
            <w:tcBorders>
              <w:top w:val="single" w:color="auto" w:sz="4" w:space="0"/>
              <w:left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985,0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1202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985,0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1202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(на условиях софинанс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рования)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(на условиях соф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нансирования)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970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302020402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Mangal">
    <w:panose1 w:val="0204050305040603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framePr w:hAnchor="margin" w:vAnchor="text" w:wrap="around" w:xAlign="right" w:y="1"/>
      <w:pBdr/>
      <w:spacing/>
      <w:ind/>
      <w:rPr>
        <w:rStyle w:val="1042"/>
      </w:rPr>
    </w:pPr>
    <w:r>
      <w:rPr>
        <w:rStyle w:val="1042"/>
      </w:rPr>
    </w:r>
    <w:r>
      <w:rPr>
        <w:rStyle w:val="1042"/>
      </w:rPr>
    </w:r>
    <w:r>
      <w:rPr>
        <w:rStyle w:val="1042"/>
      </w:rPr>
    </w:r>
  </w:p>
  <w:p>
    <w:pPr>
      <w:pStyle w:val="1054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pBdr/>
      <w:tabs>
        <w:tab w:val="clear" w:leader="none" w:pos="4677"/>
        <w:tab w:val="clear" w:leader="none" w:pos="9355"/>
        <w:tab w:val="left" w:leader="none" w:pos="13455"/>
      </w:tabs>
      <w:spacing/>
      <w:ind w:right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pBdr/>
      <w:spacing/>
      <w:ind/>
      <w:rPr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pBdr/>
      <w:spacing/>
      <w:ind w:right="360"/>
      <w:rPr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95"/>
        </w:tabs>
        <w:spacing/>
        <w:ind w:hanging="360" w:left="795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491"/>
        </w:tabs>
        <w:spacing/>
        <w:ind w:hanging="360" w:left="34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4211"/>
        </w:tabs>
        <w:spacing/>
        <w:ind w:hanging="180" w:left="42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4931"/>
        </w:tabs>
        <w:spacing/>
        <w:ind w:hanging="360" w:left="49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5651"/>
        </w:tabs>
        <w:spacing/>
        <w:ind w:hanging="360" w:left="56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6371"/>
        </w:tabs>
        <w:spacing/>
        <w:ind w:hanging="180" w:left="63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7091"/>
        </w:tabs>
        <w:spacing/>
        <w:ind w:hanging="360" w:left="70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7811"/>
        </w:tabs>
        <w:spacing/>
        <w:ind w:hanging="360" w:left="78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8531"/>
        </w:tabs>
        <w:spacing/>
        <w:ind w:hanging="180" w:left="8531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2771"/>
        </w:tabs>
        <w:spacing/>
        <w:ind w:hanging="360" w:left="2771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491"/>
        </w:tabs>
        <w:spacing/>
        <w:ind w:hanging="360" w:left="34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4211"/>
        </w:tabs>
        <w:spacing/>
        <w:ind w:hanging="180" w:left="42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4931"/>
        </w:tabs>
        <w:spacing/>
        <w:ind w:hanging="360" w:left="49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5651"/>
        </w:tabs>
        <w:spacing/>
        <w:ind w:hanging="360" w:left="56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6371"/>
        </w:tabs>
        <w:spacing/>
        <w:ind w:hanging="180" w:left="63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7091"/>
        </w:tabs>
        <w:spacing/>
        <w:ind w:hanging="360" w:left="70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7811"/>
        </w:tabs>
        <w:spacing/>
        <w:ind w:hanging="360" w:left="78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8531"/>
        </w:tabs>
        <w:spacing/>
        <w:ind w:hanging="180" w:left="853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564" w:left="92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900"/>
        </w:tabs>
        <w:spacing/>
        <w:ind w:hanging="360" w:left="900"/>
      </w:pPr>
      <w:rPr/>
      <w:start w:val="13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900"/>
        </w:tabs>
        <w:spacing/>
        <w:ind w:hanging="360" w:left="90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2771"/>
        </w:tabs>
        <w:spacing/>
        <w:ind w:hanging="360" w:left="2771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491"/>
        </w:tabs>
        <w:spacing/>
        <w:ind w:hanging="360" w:left="34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4211"/>
        </w:tabs>
        <w:spacing/>
        <w:ind w:hanging="180" w:left="42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4931"/>
        </w:tabs>
        <w:spacing/>
        <w:ind w:hanging="360" w:left="49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5651"/>
        </w:tabs>
        <w:spacing/>
        <w:ind w:hanging="360" w:left="56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6371"/>
        </w:tabs>
        <w:spacing/>
        <w:ind w:hanging="180" w:left="63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7091"/>
        </w:tabs>
        <w:spacing/>
        <w:ind w:hanging="360" w:left="70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7811"/>
        </w:tabs>
        <w:spacing/>
        <w:ind w:hanging="360" w:left="78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8531"/>
        </w:tabs>
        <w:spacing/>
        <w:ind w:hanging="180" w:left="8531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068"/>
        </w:tabs>
        <w:spacing/>
        <w:ind w:hanging="360" w:left="1068"/>
      </w:pPr>
      <w:rPr/>
      <w:start w:val="8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ascii="Tahoma" w:hAnsi="Tahoma" w:cs="Tahoma"/>
        <w:color w:val="000000"/>
        <w:sz w:val="18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068"/>
        </w:tabs>
        <w:spacing/>
        <w:ind w:hanging="360" w:left="1068"/>
      </w:pPr>
      <w:rPr/>
      <w:start w:val="8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80"/>
        </w:tabs>
        <w:spacing/>
        <w:ind w:hanging="720" w:left="1080"/>
      </w:pPr>
      <w:rPr/>
      <w:start w:val="3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160"/>
        </w:tabs>
        <w:spacing/>
        <w:ind w:hanging="1080" w:left="21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240"/>
        </w:tabs>
        <w:spacing/>
        <w:ind w:hanging="1440" w:left="32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960"/>
        </w:tabs>
        <w:spacing/>
        <w:ind w:hanging="1800" w:left="39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4320"/>
        </w:tabs>
        <w:spacing/>
        <w:ind w:hanging="1800" w:left="43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5040"/>
        </w:tabs>
        <w:spacing/>
        <w:ind w:hanging="2160" w:left="504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color w:val="000000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2771"/>
        </w:tabs>
        <w:spacing/>
        <w:ind w:hanging="360" w:left="2771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491"/>
        </w:tabs>
        <w:spacing/>
        <w:ind w:hanging="360" w:left="34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4211"/>
        </w:tabs>
        <w:spacing/>
        <w:ind w:hanging="180" w:left="42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4931"/>
        </w:tabs>
        <w:spacing/>
        <w:ind w:hanging="360" w:left="49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5651"/>
        </w:tabs>
        <w:spacing/>
        <w:ind w:hanging="360" w:left="56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6371"/>
        </w:tabs>
        <w:spacing/>
        <w:ind w:hanging="180" w:left="63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7091"/>
        </w:tabs>
        <w:spacing/>
        <w:ind w:hanging="360" w:left="70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7811"/>
        </w:tabs>
        <w:spacing/>
        <w:ind w:hanging="360" w:left="78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8531"/>
        </w:tabs>
        <w:spacing/>
        <w:ind w:hanging="180" w:left="8531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"/>
    <w:lvlOverride w:ilvl="0">
      <w:startOverride w:val="2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15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9"/>
  </w:num>
  <w:num w:numId="18">
    <w:abstractNumId w:val="11"/>
  </w:num>
  <w:num w:numId="19">
    <w:abstractNumId w:val="17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Table Grid"/>
    <w:basedOn w:val="79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Table Grid Light"/>
    <w:basedOn w:val="7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1"/>
    <w:basedOn w:val="7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2"/>
    <w:basedOn w:val="7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"/>
    <w:basedOn w:val="7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1"/>
    <w:basedOn w:val="7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2"/>
    <w:basedOn w:val="7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3"/>
    <w:basedOn w:val="7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4"/>
    <w:basedOn w:val="7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5"/>
    <w:basedOn w:val="7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6"/>
    <w:basedOn w:val="7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1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2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3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4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5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6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1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2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3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4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5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6"/>
    <w:basedOn w:val="7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1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2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3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4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5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6"/>
    <w:basedOn w:val="7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Heading 1"/>
    <w:basedOn w:val="970"/>
    <w:next w:val="970"/>
    <w:link w:val="93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0">
    <w:name w:val="Heading 2"/>
    <w:basedOn w:val="970"/>
    <w:next w:val="970"/>
    <w:link w:val="93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1">
    <w:name w:val="Heading 3"/>
    <w:basedOn w:val="970"/>
    <w:next w:val="970"/>
    <w:link w:val="93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2">
    <w:name w:val="Heading 4"/>
    <w:basedOn w:val="970"/>
    <w:next w:val="970"/>
    <w:link w:val="93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3">
    <w:name w:val="Heading 5"/>
    <w:basedOn w:val="970"/>
    <w:next w:val="970"/>
    <w:link w:val="93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4">
    <w:name w:val="Heading 6"/>
    <w:basedOn w:val="970"/>
    <w:next w:val="970"/>
    <w:link w:val="93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5">
    <w:name w:val="Heading 7"/>
    <w:basedOn w:val="970"/>
    <w:next w:val="970"/>
    <w:link w:val="93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6">
    <w:name w:val="Heading 8"/>
    <w:basedOn w:val="970"/>
    <w:next w:val="970"/>
    <w:link w:val="93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7">
    <w:name w:val="Heading 9"/>
    <w:basedOn w:val="970"/>
    <w:next w:val="970"/>
    <w:link w:val="93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8" w:default="1">
    <w:name w:val="Default Paragraph Font"/>
    <w:uiPriority w:val="1"/>
    <w:semiHidden/>
    <w:unhideWhenUsed/>
    <w:pPr>
      <w:pBdr/>
      <w:spacing/>
      <w:ind/>
    </w:pPr>
  </w:style>
  <w:style w:type="numbering" w:styleId="929" w:default="1">
    <w:name w:val="No List"/>
    <w:uiPriority w:val="99"/>
    <w:semiHidden/>
    <w:unhideWhenUsed/>
    <w:pPr>
      <w:pBdr/>
      <w:spacing/>
      <w:ind/>
    </w:pPr>
  </w:style>
  <w:style w:type="character" w:styleId="930">
    <w:name w:val="Heading 1 Char"/>
    <w:basedOn w:val="928"/>
    <w:link w:val="9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1">
    <w:name w:val="Heading 2 Char"/>
    <w:basedOn w:val="928"/>
    <w:link w:val="9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2">
    <w:name w:val="Heading 3 Char"/>
    <w:basedOn w:val="928"/>
    <w:link w:val="9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3">
    <w:name w:val="Heading 4 Char"/>
    <w:basedOn w:val="928"/>
    <w:link w:val="92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4">
    <w:name w:val="Heading 5 Char"/>
    <w:basedOn w:val="928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5">
    <w:name w:val="Heading 6 Char"/>
    <w:basedOn w:val="928"/>
    <w:link w:val="92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6">
    <w:name w:val="Heading 7 Char"/>
    <w:basedOn w:val="928"/>
    <w:link w:val="92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7">
    <w:name w:val="Heading 8 Char"/>
    <w:basedOn w:val="928"/>
    <w:link w:val="9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8">
    <w:name w:val="Heading 9 Char"/>
    <w:basedOn w:val="928"/>
    <w:link w:val="92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9">
    <w:name w:val="Title"/>
    <w:basedOn w:val="970"/>
    <w:next w:val="970"/>
    <w:link w:val="94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0">
    <w:name w:val="Title Char"/>
    <w:basedOn w:val="928"/>
    <w:link w:val="9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1">
    <w:name w:val="Subtitle"/>
    <w:basedOn w:val="970"/>
    <w:next w:val="970"/>
    <w:link w:val="94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2">
    <w:name w:val="Subtitle Char"/>
    <w:basedOn w:val="928"/>
    <w:link w:val="9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3">
    <w:name w:val="Quote"/>
    <w:basedOn w:val="970"/>
    <w:next w:val="970"/>
    <w:link w:val="94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4">
    <w:name w:val="Quote Char"/>
    <w:basedOn w:val="928"/>
    <w:link w:val="9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5">
    <w:name w:val="Intense Emphasis"/>
    <w:basedOn w:val="92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6">
    <w:name w:val="Intense Quote"/>
    <w:basedOn w:val="970"/>
    <w:next w:val="970"/>
    <w:link w:val="94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7">
    <w:name w:val="Intense Quote Char"/>
    <w:basedOn w:val="928"/>
    <w:link w:val="94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8">
    <w:name w:val="Intense Reference"/>
    <w:basedOn w:val="92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9">
    <w:name w:val="No Spacing"/>
    <w:basedOn w:val="970"/>
    <w:uiPriority w:val="1"/>
    <w:qFormat/>
    <w:pPr>
      <w:pBdr/>
      <w:spacing w:after="0" w:line="240" w:lineRule="auto"/>
      <w:ind/>
    </w:pPr>
  </w:style>
  <w:style w:type="character" w:styleId="950">
    <w:name w:val="Subtle Emphasis"/>
    <w:basedOn w:val="92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1">
    <w:name w:val="Emphasis"/>
    <w:basedOn w:val="928"/>
    <w:uiPriority w:val="20"/>
    <w:qFormat/>
    <w:pPr>
      <w:pBdr/>
      <w:spacing/>
      <w:ind/>
    </w:pPr>
    <w:rPr>
      <w:i/>
      <w:iCs/>
    </w:rPr>
  </w:style>
  <w:style w:type="character" w:styleId="952">
    <w:name w:val="Strong"/>
    <w:basedOn w:val="928"/>
    <w:uiPriority w:val="22"/>
    <w:qFormat/>
    <w:pPr>
      <w:pBdr/>
      <w:spacing/>
      <w:ind/>
    </w:pPr>
    <w:rPr>
      <w:b/>
      <w:bCs/>
    </w:rPr>
  </w:style>
  <w:style w:type="character" w:styleId="953">
    <w:name w:val="Subtle Reference"/>
    <w:basedOn w:val="92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4">
    <w:name w:val="Book Title"/>
    <w:basedOn w:val="92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55">
    <w:name w:val="Header"/>
    <w:basedOn w:val="970"/>
    <w:link w:val="95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56">
    <w:name w:val="Header Char"/>
    <w:basedOn w:val="928"/>
    <w:link w:val="955"/>
    <w:uiPriority w:val="99"/>
    <w:pPr>
      <w:pBdr/>
      <w:spacing/>
      <w:ind/>
    </w:pPr>
  </w:style>
  <w:style w:type="paragraph" w:styleId="957">
    <w:name w:val="Footer"/>
    <w:basedOn w:val="970"/>
    <w:link w:val="9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58">
    <w:name w:val="Footer Char"/>
    <w:basedOn w:val="928"/>
    <w:link w:val="957"/>
    <w:uiPriority w:val="99"/>
    <w:pPr>
      <w:pBdr/>
      <w:spacing/>
      <w:ind/>
    </w:pPr>
  </w:style>
  <w:style w:type="paragraph" w:styleId="959">
    <w:name w:val="Caption"/>
    <w:basedOn w:val="970"/>
    <w:next w:val="97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0">
    <w:name w:val="footnote text"/>
    <w:basedOn w:val="970"/>
    <w:link w:val="9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1">
    <w:name w:val="Footnote Text Char"/>
    <w:basedOn w:val="928"/>
    <w:link w:val="960"/>
    <w:uiPriority w:val="99"/>
    <w:semiHidden/>
    <w:pPr>
      <w:pBdr/>
      <w:spacing/>
      <w:ind/>
    </w:pPr>
    <w:rPr>
      <w:sz w:val="20"/>
      <w:szCs w:val="20"/>
    </w:rPr>
  </w:style>
  <w:style w:type="character" w:styleId="962">
    <w:name w:val="footnote reference"/>
    <w:basedOn w:val="928"/>
    <w:uiPriority w:val="99"/>
    <w:semiHidden/>
    <w:unhideWhenUsed/>
    <w:pPr>
      <w:pBdr/>
      <w:spacing/>
      <w:ind/>
    </w:pPr>
    <w:rPr>
      <w:vertAlign w:val="superscript"/>
    </w:rPr>
  </w:style>
  <w:style w:type="paragraph" w:styleId="963">
    <w:name w:val="endnote text"/>
    <w:basedOn w:val="970"/>
    <w:link w:val="9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4">
    <w:name w:val="Endnote Text Char"/>
    <w:basedOn w:val="928"/>
    <w:link w:val="963"/>
    <w:uiPriority w:val="99"/>
    <w:semiHidden/>
    <w:pPr>
      <w:pBdr/>
      <w:spacing/>
      <w:ind/>
    </w:pPr>
    <w:rPr>
      <w:sz w:val="20"/>
      <w:szCs w:val="20"/>
    </w:rPr>
  </w:style>
  <w:style w:type="character" w:styleId="965">
    <w:name w:val="endnote reference"/>
    <w:basedOn w:val="928"/>
    <w:uiPriority w:val="99"/>
    <w:semiHidden/>
    <w:unhideWhenUsed/>
    <w:pPr>
      <w:pBdr/>
      <w:spacing/>
      <w:ind/>
    </w:pPr>
    <w:rPr>
      <w:vertAlign w:val="superscript"/>
    </w:rPr>
  </w:style>
  <w:style w:type="character" w:styleId="966">
    <w:name w:val="Hyperlink"/>
    <w:basedOn w:val="92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67">
    <w:name w:val="FollowedHyperlink"/>
    <w:basedOn w:val="92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8">
    <w:name w:val="TOC Heading"/>
    <w:uiPriority w:val="39"/>
    <w:unhideWhenUsed/>
    <w:pPr>
      <w:pBdr/>
      <w:spacing/>
      <w:ind/>
    </w:pPr>
  </w:style>
  <w:style w:type="paragraph" w:styleId="969">
    <w:name w:val="table of figures"/>
    <w:basedOn w:val="970"/>
    <w:next w:val="970"/>
    <w:uiPriority w:val="99"/>
    <w:unhideWhenUsed/>
    <w:pPr>
      <w:pBdr/>
      <w:spacing w:after="0" w:afterAutospacing="0"/>
      <w:ind/>
    </w:pPr>
  </w:style>
  <w:style w:type="paragraph" w:styleId="970" w:default="1">
    <w:name w:val="Normal"/>
    <w:next w:val="970"/>
    <w:link w:val="970"/>
    <w:qFormat/>
    <w:pPr>
      <w:pBdr/>
      <w:spacing/>
      <w:ind/>
    </w:pPr>
    <w:rPr>
      <w:lang w:val="ru-RU" w:eastAsia="ar-SA" w:bidi="ar-SA"/>
    </w:rPr>
  </w:style>
  <w:style w:type="paragraph" w:styleId="971">
    <w:name w:val="Заголовок 1"/>
    <w:basedOn w:val="970"/>
    <w:next w:val="970"/>
    <w:link w:val="970"/>
    <w:qFormat/>
    <w:pPr>
      <w:keepNext w:val="true"/>
      <w:pBdr/>
      <w:tabs>
        <w:tab w:val="num" w:leader="none" w:pos="432"/>
      </w:tabs>
      <w:spacing/>
      <w:ind w:hanging="432" w:left="432"/>
      <w:outlineLvl w:val="0"/>
    </w:pPr>
    <w:rPr>
      <w:sz w:val="28"/>
    </w:rPr>
  </w:style>
  <w:style w:type="paragraph" w:styleId="972">
    <w:name w:val="Заголовок 2"/>
    <w:basedOn w:val="970"/>
    <w:next w:val="970"/>
    <w:link w:val="970"/>
    <w:qFormat/>
    <w:pPr>
      <w:keepNext w:val="true"/>
      <w:pBdr/>
      <w:tabs>
        <w:tab w:val="num" w:leader="none" w:pos="576"/>
      </w:tabs>
      <w:spacing/>
      <w:ind w:firstLine="250" w:left="2160"/>
      <w:outlineLvl w:val="1"/>
    </w:pPr>
    <w:rPr>
      <w:b/>
      <w:sz w:val="28"/>
    </w:rPr>
  </w:style>
  <w:style w:type="paragraph" w:styleId="973">
    <w:name w:val="Заголовок 3"/>
    <w:basedOn w:val="970"/>
    <w:next w:val="970"/>
    <w:link w:val="970"/>
    <w:qFormat/>
    <w:pPr>
      <w:keepNext w:val="true"/>
      <w:pBdr/>
      <w:tabs>
        <w:tab w:val="num" w:leader="none" w:pos="720"/>
      </w:tabs>
      <w:spacing/>
      <w:ind w:hanging="720" w:left="720"/>
      <w:jc w:val="center"/>
      <w:outlineLvl w:val="2"/>
    </w:pPr>
    <w:rPr>
      <w:b/>
      <w:sz w:val="32"/>
    </w:rPr>
  </w:style>
  <w:style w:type="paragraph" w:styleId="974">
    <w:name w:val="Заголовок 7"/>
    <w:basedOn w:val="970"/>
    <w:next w:val="970"/>
    <w:link w:val="1069"/>
    <w:semiHidden/>
    <w:unhideWhenUsed/>
    <w:qFormat/>
    <w:pPr>
      <w:pBdr/>
      <w:spacing w:after="60" w:before="240"/>
      <w:ind/>
      <w:outlineLvl w:val="6"/>
    </w:pPr>
    <w:rPr>
      <w:rFonts w:ascii="Calibri" w:hAnsi="Calibri"/>
      <w:sz w:val="24"/>
      <w:szCs w:val="24"/>
      <w:lang w:val="en-US"/>
    </w:rPr>
  </w:style>
  <w:style w:type="character" w:styleId="975">
    <w:name w:val="Основной шрифт абзаца"/>
    <w:next w:val="975"/>
    <w:link w:val="970"/>
    <w:semiHidden/>
    <w:pPr>
      <w:pBdr/>
      <w:spacing/>
      <w:ind/>
    </w:pPr>
  </w:style>
  <w:style w:type="table" w:styleId="976">
    <w:name w:val="Обычная таблица"/>
    <w:next w:val="976"/>
    <w:link w:val="97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7">
    <w:name w:val="Нет списка"/>
    <w:next w:val="977"/>
    <w:link w:val="970"/>
    <w:semiHidden/>
    <w:pPr>
      <w:pBdr/>
      <w:spacing/>
      <w:ind/>
    </w:pPr>
  </w:style>
  <w:style w:type="character" w:styleId="978">
    <w:name w:val="WW8Num1z0"/>
    <w:next w:val="978"/>
    <w:link w:val="970"/>
    <w:pPr>
      <w:pBdr/>
      <w:spacing/>
      <w:ind/>
    </w:pPr>
  </w:style>
  <w:style w:type="character" w:styleId="979">
    <w:name w:val="WW8Num1z1"/>
    <w:next w:val="979"/>
    <w:link w:val="970"/>
    <w:pPr>
      <w:pBdr/>
      <w:spacing/>
      <w:ind/>
    </w:pPr>
  </w:style>
  <w:style w:type="character" w:styleId="980">
    <w:name w:val="WW8Num1z2"/>
    <w:next w:val="980"/>
    <w:link w:val="970"/>
    <w:pPr>
      <w:pBdr/>
      <w:spacing/>
      <w:ind/>
    </w:pPr>
  </w:style>
  <w:style w:type="character" w:styleId="981">
    <w:name w:val="WW8Num1z3"/>
    <w:next w:val="981"/>
    <w:link w:val="970"/>
    <w:pPr>
      <w:pBdr/>
      <w:spacing/>
      <w:ind/>
    </w:pPr>
  </w:style>
  <w:style w:type="character" w:styleId="982">
    <w:name w:val="WW8Num1z4"/>
    <w:next w:val="982"/>
    <w:link w:val="970"/>
    <w:pPr>
      <w:pBdr/>
      <w:spacing/>
      <w:ind/>
    </w:pPr>
  </w:style>
  <w:style w:type="character" w:styleId="983">
    <w:name w:val="WW8Num1z5"/>
    <w:next w:val="983"/>
    <w:link w:val="970"/>
    <w:pPr>
      <w:pBdr/>
      <w:spacing/>
      <w:ind/>
    </w:pPr>
  </w:style>
  <w:style w:type="character" w:styleId="984">
    <w:name w:val="WW8Num1z6"/>
    <w:next w:val="984"/>
    <w:link w:val="970"/>
    <w:pPr>
      <w:pBdr/>
      <w:spacing/>
      <w:ind/>
    </w:pPr>
  </w:style>
  <w:style w:type="character" w:styleId="985">
    <w:name w:val="WW8Num1z7"/>
    <w:next w:val="985"/>
    <w:link w:val="970"/>
    <w:pPr>
      <w:pBdr/>
      <w:spacing/>
      <w:ind/>
    </w:pPr>
  </w:style>
  <w:style w:type="character" w:styleId="986">
    <w:name w:val="WW8Num1z8"/>
    <w:next w:val="986"/>
    <w:link w:val="970"/>
    <w:pPr>
      <w:pBdr/>
      <w:spacing/>
      <w:ind/>
    </w:pPr>
  </w:style>
  <w:style w:type="character" w:styleId="987">
    <w:name w:val="WW8Num2z0"/>
    <w:next w:val="987"/>
    <w:link w:val="970"/>
    <w:pPr>
      <w:pBdr/>
      <w:spacing/>
      <w:ind/>
    </w:pPr>
  </w:style>
  <w:style w:type="character" w:styleId="988">
    <w:name w:val="WW8Num2z1"/>
    <w:next w:val="988"/>
    <w:link w:val="970"/>
    <w:pPr>
      <w:pBdr/>
      <w:spacing/>
      <w:ind/>
    </w:pPr>
  </w:style>
  <w:style w:type="character" w:styleId="989">
    <w:name w:val="WW8Num2z2"/>
    <w:next w:val="989"/>
    <w:link w:val="970"/>
    <w:pPr>
      <w:pBdr/>
      <w:spacing/>
      <w:ind/>
    </w:pPr>
  </w:style>
  <w:style w:type="character" w:styleId="990">
    <w:name w:val="WW8Num2z3"/>
    <w:next w:val="990"/>
    <w:link w:val="970"/>
    <w:pPr>
      <w:pBdr/>
      <w:spacing/>
      <w:ind/>
    </w:pPr>
  </w:style>
  <w:style w:type="character" w:styleId="991">
    <w:name w:val="WW8Num2z4"/>
    <w:next w:val="991"/>
    <w:link w:val="970"/>
    <w:pPr>
      <w:pBdr/>
      <w:spacing/>
      <w:ind/>
    </w:pPr>
  </w:style>
  <w:style w:type="character" w:styleId="992">
    <w:name w:val="WW8Num2z5"/>
    <w:next w:val="992"/>
    <w:link w:val="970"/>
    <w:pPr>
      <w:pBdr/>
      <w:spacing/>
      <w:ind/>
    </w:pPr>
  </w:style>
  <w:style w:type="character" w:styleId="993">
    <w:name w:val="WW8Num2z6"/>
    <w:next w:val="993"/>
    <w:link w:val="970"/>
    <w:pPr>
      <w:pBdr/>
      <w:spacing/>
      <w:ind/>
    </w:pPr>
  </w:style>
  <w:style w:type="character" w:styleId="994">
    <w:name w:val="WW8Num2z7"/>
    <w:next w:val="994"/>
    <w:link w:val="970"/>
    <w:pPr>
      <w:pBdr/>
      <w:spacing/>
      <w:ind/>
    </w:pPr>
  </w:style>
  <w:style w:type="character" w:styleId="995">
    <w:name w:val="WW8Num2z8"/>
    <w:next w:val="995"/>
    <w:link w:val="970"/>
    <w:pPr>
      <w:pBdr/>
      <w:spacing/>
      <w:ind/>
    </w:pPr>
  </w:style>
  <w:style w:type="character" w:styleId="996">
    <w:name w:val="WW8Num3z0"/>
    <w:next w:val="996"/>
    <w:link w:val="970"/>
    <w:pPr>
      <w:pBdr/>
      <w:spacing/>
      <w:ind/>
    </w:pPr>
  </w:style>
  <w:style w:type="character" w:styleId="997">
    <w:name w:val="WW8Num3z1"/>
    <w:next w:val="997"/>
    <w:link w:val="970"/>
    <w:pPr>
      <w:pBdr/>
      <w:spacing/>
      <w:ind/>
    </w:pPr>
  </w:style>
  <w:style w:type="character" w:styleId="998">
    <w:name w:val="WW8Num3z2"/>
    <w:next w:val="998"/>
    <w:link w:val="970"/>
    <w:pPr>
      <w:pBdr/>
      <w:spacing/>
      <w:ind/>
    </w:pPr>
  </w:style>
  <w:style w:type="character" w:styleId="999">
    <w:name w:val="WW8Num3z3"/>
    <w:next w:val="999"/>
    <w:link w:val="970"/>
    <w:pPr>
      <w:pBdr/>
      <w:spacing/>
      <w:ind/>
    </w:pPr>
  </w:style>
  <w:style w:type="character" w:styleId="1000">
    <w:name w:val="WW8Num3z4"/>
    <w:next w:val="1000"/>
    <w:link w:val="970"/>
    <w:pPr>
      <w:pBdr/>
      <w:spacing/>
      <w:ind/>
    </w:pPr>
  </w:style>
  <w:style w:type="character" w:styleId="1001">
    <w:name w:val="WW8Num3z5"/>
    <w:next w:val="1001"/>
    <w:link w:val="970"/>
    <w:pPr>
      <w:pBdr/>
      <w:spacing/>
      <w:ind/>
    </w:pPr>
  </w:style>
  <w:style w:type="character" w:styleId="1002">
    <w:name w:val="WW8Num3z6"/>
    <w:next w:val="1002"/>
    <w:link w:val="970"/>
    <w:pPr>
      <w:pBdr/>
      <w:spacing/>
      <w:ind/>
    </w:pPr>
  </w:style>
  <w:style w:type="character" w:styleId="1003">
    <w:name w:val="WW8Num3z7"/>
    <w:next w:val="1003"/>
    <w:link w:val="970"/>
    <w:pPr>
      <w:pBdr/>
      <w:spacing/>
      <w:ind/>
    </w:pPr>
  </w:style>
  <w:style w:type="character" w:styleId="1004">
    <w:name w:val="WW8Num3z8"/>
    <w:next w:val="1004"/>
    <w:link w:val="970"/>
    <w:pPr>
      <w:pBdr/>
      <w:spacing/>
      <w:ind/>
    </w:pPr>
  </w:style>
  <w:style w:type="character" w:styleId="1005">
    <w:name w:val="WW8Num4z0"/>
    <w:next w:val="1005"/>
    <w:link w:val="970"/>
    <w:pPr>
      <w:pBdr/>
      <w:spacing/>
      <w:ind/>
    </w:pPr>
  </w:style>
  <w:style w:type="character" w:styleId="1006">
    <w:name w:val="WW8Num4z1"/>
    <w:next w:val="1006"/>
    <w:link w:val="970"/>
    <w:pPr>
      <w:pBdr/>
      <w:spacing/>
      <w:ind/>
    </w:pPr>
  </w:style>
  <w:style w:type="character" w:styleId="1007">
    <w:name w:val="WW8Num4z2"/>
    <w:next w:val="1007"/>
    <w:link w:val="970"/>
    <w:pPr>
      <w:pBdr/>
      <w:spacing/>
      <w:ind/>
    </w:pPr>
  </w:style>
  <w:style w:type="character" w:styleId="1008">
    <w:name w:val="WW8Num4z3"/>
    <w:next w:val="1008"/>
    <w:link w:val="970"/>
    <w:pPr>
      <w:pBdr/>
      <w:spacing/>
      <w:ind/>
    </w:pPr>
  </w:style>
  <w:style w:type="character" w:styleId="1009">
    <w:name w:val="WW8Num4z4"/>
    <w:next w:val="1009"/>
    <w:link w:val="970"/>
    <w:pPr>
      <w:pBdr/>
      <w:spacing/>
      <w:ind/>
    </w:pPr>
  </w:style>
  <w:style w:type="character" w:styleId="1010">
    <w:name w:val="WW8Num4z5"/>
    <w:next w:val="1010"/>
    <w:link w:val="970"/>
    <w:pPr>
      <w:pBdr/>
      <w:spacing/>
      <w:ind/>
    </w:pPr>
  </w:style>
  <w:style w:type="character" w:styleId="1011">
    <w:name w:val="WW8Num4z6"/>
    <w:next w:val="1011"/>
    <w:link w:val="970"/>
    <w:pPr>
      <w:pBdr/>
      <w:spacing/>
      <w:ind/>
    </w:pPr>
  </w:style>
  <w:style w:type="character" w:styleId="1012">
    <w:name w:val="WW8Num4z7"/>
    <w:next w:val="1012"/>
    <w:link w:val="970"/>
    <w:pPr>
      <w:pBdr/>
      <w:spacing/>
      <w:ind/>
    </w:pPr>
  </w:style>
  <w:style w:type="character" w:styleId="1013">
    <w:name w:val="WW8Num4z8"/>
    <w:next w:val="1013"/>
    <w:link w:val="970"/>
    <w:pPr>
      <w:pBdr/>
      <w:spacing/>
      <w:ind/>
    </w:pPr>
  </w:style>
  <w:style w:type="character" w:styleId="1014">
    <w:name w:val="WW8Num5z0"/>
    <w:next w:val="1014"/>
    <w:link w:val="970"/>
    <w:pPr>
      <w:pBdr/>
      <w:spacing/>
      <w:ind/>
    </w:pPr>
  </w:style>
  <w:style w:type="character" w:styleId="1015">
    <w:name w:val="WW8Num5z1"/>
    <w:next w:val="1015"/>
    <w:link w:val="970"/>
    <w:pPr>
      <w:pBdr/>
      <w:spacing/>
      <w:ind/>
    </w:pPr>
  </w:style>
  <w:style w:type="character" w:styleId="1016">
    <w:name w:val="WW8Num5z2"/>
    <w:next w:val="1016"/>
    <w:link w:val="970"/>
    <w:pPr>
      <w:pBdr/>
      <w:spacing/>
      <w:ind/>
    </w:pPr>
  </w:style>
  <w:style w:type="character" w:styleId="1017">
    <w:name w:val="WW8Num5z3"/>
    <w:next w:val="1017"/>
    <w:link w:val="970"/>
    <w:pPr>
      <w:pBdr/>
      <w:spacing/>
      <w:ind/>
    </w:pPr>
  </w:style>
  <w:style w:type="character" w:styleId="1018">
    <w:name w:val="WW8Num5z4"/>
    <w:next w:val="1018"/>
    <w:link w:val="970"/>
    <w:pPr>
      <w:pBdr/>
      <w:spacing/>
      <w:ind/>
    </w:pPr>
  </w:style>
  <w:style w:type="character" w:styleId="1019">
    <w:name w:val="WW8Num5z5"/>
    <w:next w:val="1019"/>
    <w:link w:val="970"/>
    <w:pPr>
      <w:pBdr/>
      <w:spacing/>
      <w:ind/>
    </w:pPr>
  </w:style>
  <w:style w:type="character" w:styleId="1020">
    <w:name w:val="WW8Num5z6"/>
    <w:next w:val="1020"/>
    <w:link w:val="970"/>
    <w:pPr>
      <w:pBdr/>
      <w:spacing/>
      <w:ind/>
    </w:pPr>
  </w:style>
  <w:style w:type="character" w:styleId="1021">
    <w:name w:val="WW8Num5z7"/>
    <w:next w:val="1021"/>
    <w:link w:val="970"/>
    <w:pPr>
      <w:pBdr/>
      <w:spacing/>
      <w:ind/>
    </w:pPr>
  </w:style>
  <w:style w:type="character" w:styleId="1022">
    <w:name w:val="WW8Num5z8"/>
    <w:next w:val="1022"/>
    <w:link w:val="970"/>
    <w:pPr>
      <w:pBdr/>
      <w:spacing/>
      <w:ind/>
    </w:pPr>
  </w:style>
  <w:style w:type="character" w:styleId="1023">
    <w:name w:val="WW8Num6z0"/>
    <w:next w:val="1023"/>
    <w:link w:val="970"/>
    <w:pPr>
      <w:pBdr/>
      <w:spacing/>
      <w:ind/>
    </w:pPr>
  </w:style>
  <w:style w:type="character" w:styleId="1024">
    <w:name w:val="WW8Num6z1"/>
    <w:next w:val="1024"/>
    <w:link w:val="970"/>
    <w:pPr>
      <w:pBdr/>
      <w:spacing/>
      <w:ind/>
    </w:pPr>
  </w:style>
  <w:style w:type="character" w:styleId="1025">
    <w:name w:val="WW8Num6z2"/>
    <w:next w:val="1025"/>
    <w:link w:val="970"/>
    <w:pPr>
      <w:pBdr/>
      <w:spacing/>
      <w:ind/>
    </w:pPr>
  </w:style>
  <w:style w:type="character" w:styleId="1026">
    <w:name w:val="WW8Num6z3"/>
    <w:next w:val="1026"/>
    <w:link w:val="970"/>
    <w:pPr>
      <w:pBdr/>
      <w:spacing/>
      <w:ind/>
    </w:pPr>
  </w:style>
  <w:style w:type="character" w:styleId="1027">
    <w:name w:val="WW8Num6z4"/>
    <w:next w:val="1027"/>
    <w:link w:val="970"/>
    <w:pPr>
      <w:pBdr/>
      <w:spacing/>
      <w:ind/>
    </w:pPr>
  </w:style>
  <w:style w:type="character" w:styleId="1028">
    <w:name w:val="WW8Num6z5"/>
    <w:next w:val="1028"/>
    <w:link w:val="970"/>
    <w:pPr>
      <w:pBdr/>
      <w:spacing/>
      <w:ind/>
    </w:pPr>
  </w:style>
  <w:style w:type="character" w:styleId="1029">
    <w:name w:val="WW8Num6z6"/>
    <w:next w:val="1029"/>
    <w:link w:val="970"/>
    <w:pPr>
      <w:pBdr/>
      <w:spacing/>
      <w:ind/>
    </w:pPr>
  </w:style>
  <w:style w:type="character" w:styleId="1030">
    <w:name w:val="WW8Num6z7"/>
    <w:next w:val="1030"/>
    <w:link w:val="970"/>
    <w:pPr>
      <w:pBdr/>
      <w:spacing/>
      <w:ind/>
    </w:pPr>
  </w:style>
  <w:style w:type="character" w:styleId="1031">
    <w:name w:val="WW8Num6z8"/>
    <w:next w:val="1031"/>
    <w:link w:val="970"/>
    <w:pPr>
      <w:pBdr/>
      <w:spacing/>
      <w:ind/>
    </w:pPr>
  </w:style>
  <w:style w:type="character" w:styleId="1032">
    <w:name w:val="WW8Num7z0"/>
    <w:next w:val="1032"/>
    <w:link w:val="970"/>
    <w:pPr>
      <w:pBdr/>
      <w:spacing/>
      <w:ind/>
    </w:pPr>
  </w:style>
  <w:style w:type="character" w:styleId="1033">
    <w:name w:val="WW8Num7z1"/>
    <w:next w:val="1033"/>
    <w:link w:val="970"/>
    <w:pPr>
      <w:pBdr/>
      <w:spacing/>
      <w:ind/>
    </w:pPr>
  </w:style>
  <w:style w:type="character" w:styleId="1034">
    <w:name w:val="WW8Num7z2"/>
    <w:next w:val="1034"/>
    <w:link w:val="970"/>
    <w:pPr>
      <w:pBdr/>
      <w:spacing/>
      <w:ind/>
    </w:pPr>
  </w:style>
  <w:style w:type="character" w:styleId="1035">
    <w:name w:val="WW8Num7z3"/>
    <w:next w:val="1035"/>
    <w:link w:val="970"/>
    <w:pPr>
      <w:pBdr/>
      <w:spacing/>
      <w:ind/>
    </w:pPr>
  </w:style>
  <w:style w:type="character" w:styleId="1036">
    <w:name w:val="WW8Num7z4"/>
    <w:next w:val="1036"/>
    <w:link w:val="970"/>
    <w:pPr>
      <w:pBdr/>
      <w:spacing/>
      <w:ind/>
    </w:pPr>
  </w:style>
  <w:style w:type="character" w:styleId="1037">
    <w:name w:val="WW8Num7z5"/>
    <w:next w:val="1037"/>
    <w:link w:val="970"/>
    <w:pPr>
      <w:pBdr/>
      <w:spacing/>
      <w:ind/>
    </w:pPr>
  </w:style>
  <w:style w:type="character" w:styleId="1038">
    <w:name w:val="WW8Num7z6"/>
    <w:next w:val="1038"/>
    <w:link w:val="970"/>
    <w:pPr>
      <w:pBdr/>
      <w:spacing/>
      <w:ind/>
    </w:pPr>
  </w:style>
  <w:style w:type="character" w:styleId="1039">
    <w:name w:val="WW8Num7z7"/>
    <w:next w:val="1039"/>
    <w:link w:val="970"/>
    <w:pPr>
      <w:pBdr/>
      <w:spacing/>
      <w:ind/>
    </w:pPr>
  </w:style>
  <w:style w:type="character" w:styleId="1040">
    <w:name w:val="WW8Num7z8"/>
    <w:next w:val="1040"/>
    <w:link w:val="970"/>
    <w:pPr>
      <w:pBdr/>
      <w:spacing/>
      <w:ind/>
    </w:pPr>
  </w:style>
  <w:style w:type="character" w:styleId="1041">
    <w:name w:val="Основной шрифт абзаца1"/>
    <w:next w:val="1041"/>
    <w:link w:val="970"/>
    <w:pPr>
      <w:pBdr/>
      <w:spacing/>
      <w:ind/>
    </w:pPr>
  </w:style>
  <w:style w:type="character" w:styleId="1042">
    <w:name w:val="Номер страницы"/>
    <w:basedOn w:val="1041"/>
    <w:next w:val="1042"/>
    <w:link w:val="970"/>
    <w:pPr>
      <w:pBdr/>
      <w:spacing/>
      <w:ind/>
    </w:pPr>
  </w:style>
  <w:style w:type="character" w:styleId="1043">
    <w:name w:val=" Знак Знак"/>
    <w:next w:val="1043"/>
    <w:link w:val="970"/>
    <w:pPr>
      <w:pBdr/>
      <w:spacing/>
      <w:ind/>
    </w:pPr>
    <w:rPr>
      <w:sz w:val="28"/>
      <w:lang w:val="ru-RU" w:eastAsia="ar-SA" w:bidi="ar-SA"/>
    </w:rPr>
  </w:style>
  <w:style w:type="character" w:styleId="1044">
    <w:name w:val="Гиперссылка"/>
    <w:next w:val="1044"/>
    <w:link w:val="970"/>
    <w:pPr>
      <w:pBdr/>
      <w:spacing/>
      <w:ind/>
    </w:pPr>
    <w:rPr>
      <w:color w:val="000080"/>
      <w:u w:val="single"/>
      <w:lang w:val="en-US" w:eastAsia="en-US" w:bidi="en-US"/>
    </w:rPr>
  </w:style>
  <w:style w:type="paragraph" w:styleId="1045">
    <w:name w:val="Название"/>
    <w:basedOn w:val="970"/>
    <w:next w:val="1046"/>
    <w:link w:val="970"/>
    <w:qFormat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1046">
    <w:name w:val="Основной текст"/>
    <w:basedOn w:val="970"/>
    <w:next w:val="1046"/>
    <w:link w:val="970"/>
    <w:pPr>
      <w:pBdr/>
      <w:spacing/>
      <w:ind w:right="-285" w:firstLine="0" w:left="0"/>
    </w:pPr>
    <w:rPr>
      <w:sz w:val="28"/>
    </w:rPr>
  </w:style>
  <w:style w:type="paragraph" w:styleId="1047">
    <w:name w:val="Список"/>
    <w:basedOn w:val="1046"/>
    <w:next w:val="1047"/>
    <w:link w:val="970"/>
    <w:pPr>
      <w:pBdr/>
      <w:spacing/>
      <w:ind/>
    </w:pPr>
    <w:rPr>
      <w:rFonts w:cs="Mangal"/>
    </w:rPr>
  </w:style>
  <w:style w:type="paragraph" w:styleId="1048">
    <w:name w:val="Название1"/>
    <w:basedOn w:val="970"/>
    <w:next w:val="1048"/>
    <w:link w:val="970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1049">
    <w:name w:val="Указатель1"/>
    <w:basedOn w:val="970"/>
    <w:next w:val="1049"/>
    <w:link w:val="970"/>
    <w:pPr>
      <w:suppressLineNumbers w:val="true"/>
      <w:pBdr/>
      <w:spacing/>
      <w:ind/>
    </w:pPr>
    <w:rPr>
      <w:rFonts w:cs="Mangal"/>
    </w:rPr>
  </w:style>
  <w:style w:type="paragraph" w:styleId="1050">
    <w:name w:val="ConsPlusNormal"/>
    <w:next w:val="1050"/>
    <w:link w:val="970"/>
    <w:pPr>
      <w:widowControl w:val="false"/>
      <w:pBdr/>
      <w:spacing/>
      <w:ind w:firstLine="720"/>
    </w:pPr>
    <w:rPr>
      <w:rFonts w:ascii="Arial" w:hAnsi="Arial" w:cs="Arial"/>
      <w:lang w:val="ru-RU" w:eastAsia="ar-SA" w:bidi="ar-SA"/>
    </w:rPr>
  </w:style>
  <w:style w:type="paragraph" w:styleId="1051">
    <w:name w:val="ConsPlusTitle"/>
    <w:next w:val="1051"/>
    <w:link w:val="970"/>
    <w:pPr>
      <w:widowControl w:val="false"/>
      <w:pBdr/>
      <w:spacing/>
      <w:ind/>
    </w:pPr>
    <w:rPr>
      <w:rFonts w:ascii="Arial" w:hAnsi="Arial" w:cs="Arial"/>
      <w:b/>
      <w:bCs/>
      <w:lang w:val="ru-RU" w:eastAsia="ar-SA" w:bidi="ar-SA"/>
    </w:rPr>
  </w:style>
  <w:style w:type="paragraph" w:styleId="1052">
    <w:name w:val="ConsPlusCell"/>
    <w:next w:val="1052"/>
    <w:link w:val="970"/>
    <w:pPr>
      <w:widowControl w:val="false"/>
      <w:pBdr/>
      <w:spacing/>
      <w:ind/>
    </w:pPr>
    <w:rPr>
      <w:sz w:val="28"/>
      <w:szCs w:val="28"/>
      <w:lang w:val="ru-RU" w:eastAsia="ar-SA" w:bidi="ar-SA"/>
    </w:rPr>
  </w:style>
  <w:style w:type="paragraph" w:styleId="1053">
    <w:name w:val="ConsPlusNonformat"/>
    <w:next w:val="1053"/>
    <w:link w:val="970"/>
    <w:pPr>
      <w:widowControl w:val="false"/>
      <w:pBdr/>
      <w:spacing/>
      <w:ind/>
    </w:pPr>
    <w:rPr>
      <w:rFonts w:ascii="Courier New" w:hAnsi="Courier New" w:cs="Courier New"/>
      <w:lang w:val="ru-RU" w:eastAsia="ar-SA" w:bidi="ar-SA"/>
    </w:rPr>
  </w:style>
  <w:style w:type="paragraph" w:styleId="1054">
    <w:name w:val="Нижний колонтитул"/>
    <w:basedOn w:val="970"/>
    <w:next w:val="1054"/>
    <w:link w:val="970"/>
    <w:pPr>
      <w:pBdr/>
      <w:tabs>
        <w:tab w:val="center" w:leader="none" w:pos="4677"/>
        <w:tab w:val="right" w:leader="none" w:pos="9355"/>
      </w:tabs>
      <w:spacing/>
      <w:ind/>
    </w:pPr>
    <w:rPr>
      <w:sz w:val="24"/>
      <w:szCs w:val="24"/>
    </w:rPr>
  </w:style>
  <w:style w:type="paragraph" w:styleId="1055">
    <w:name w:val="Верхний колонтитул"/>
    <w:basedOn w:val="970"/>
    <w:next w:val="1055"/>
    <w:link w:val="97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1056">
    <w:name w:val="Содержимое таблицы"/>
    <w:basedOn w:val="970"/>
    <w:next w:val="1056"/>
    <w:link w:val="970"/>
    <w:pPr>
      <w:suppressLineNumbers w:val="true"/>
      <w:pBdr/>
      <w:spacing/>
      <w:ind/>
    </w:pPr>
  </w:style>
  <w:style w:type="paragraph" w:styleId="1057">
    <w:name w:val="Заголовок таблицы"/>
    <w:basedOn w:val="1056"/>
    <w:next w:val="1057"/>
    <w:link w:val="970"/>
    <w:pPr>
      <w:suppressLineNumbers w:val="true"/>
      <w:pBdr/>
      <w:spacing/>
      <w:ind/>
      <w:jc w:val="center"/>
    </w:pPr>
    <w:rPr>
      <w:b/>
      <w:bCs/>
    </w:rPr>
  </w:style>
  <w:style w:type="paragraph" w:styleId="1058">
    <w:name w:val="Содержимое врезки"/>
    <w:basedOn w:val="1046"/>
    <w:next w:val="1058"/>
    <w:link w:val="970"/>
    <w:pPr>
      <w:pBdr/>
      <w:spacing/>
      <w:ind/>
    </w:pPr>
  </w:style>
  <w:style w:type="table" w:styleId="1059">
    <w:name w:val="Сетка таблицы"/>
    <w:basedOn w:val="976"/>
    <w:next w:val="1059"/>
    <w:link w:val="97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60">
    <w:name w:val="List Paragraph"/>
    <w:basedOn w:val="970"/>
    <w:next w:val="1060"/>
    <w:link w:val="970"/>
    <w:pPr>
      <w:pBdr/>
      <w:spacing/>
      <w:ind w:left="720"/>
      <w:contextualSpacing w:val="true"/>
    </w:pPr>
    <w:rPr>
      <w:lang w:eastAsia="ru-RU"/>
    </w:rPr>
  </w:style>
  <w:style w:type="paragraph" w:styleId="1061">
    <w:name w:val="msonormalcxspmiddle"/>
    <w:basedOn w:val="970"/>
    <w:next w:val="1061"/>
    <w:link w:val="970"/>
    <w:pPr>
      <w:pBdr/>
      <w:spacing w:after="100" w:afterAutospacing="1" w:before="100" w:beforeAutospacing="1"/>
      <w:ind/>
    </w:pPr>
    <w:rPr>
      <w:sz w:val="24"/>
      <w:szCs w:val="24"/>
      <w:lang w:eastAsia="ru-RU"/>
    </w:rPr>
  </w:style>
  <w:style w:type="paragraph" w:styleId="1062">
    <w:name w:val="Текст выноски"/>
    <w:basedOn w:val="970"/>
    <w:next w:val="1062"/>
    <w:link w:val="1063"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1063">
    <w:name w:val="Текст выноски Знак"/>
    <w:next w:val="1063"/>
    <w:link w:val="1062"/>
    <w:pPr>
      <w:pBdr/>
      <w:spacing/>
      <w:ind/>
    </w:pPr>
    <w:rPr>
      <w:rFonts w:ascii="Segoe UI" w:hAnsi="Segoe UI" w:cs="Segoe UI"/>
      <w:sz w:val="18"/>
      <w:szCs w:val="18"/>
      <w:lang w:eastAsia="ar-SA"/>
    </w:rPr>
  </w:style>
  <w:style w:type="character" w:styleId="1064">
    <w:name w:val="Знак примечания"/>
    <w:next w:val="1064"/>
    <w:link w:val="970"/>
    <w:pPr>
      <w:pBdr/>
      <w:spacing/>
      <w:ind/>
    </w:pPr>
    <w:rPr>
      <w:sz w:val="16"/>
      <w:szCs w:val="16"/>
    </w:rPr>
  </w:style>
  <w:style w:type="paragraph" w:styleId="1065">
    <w:name w:val="Текст примечания"/>
    <w:basedOn w:val="970"/>
    <w:next w:val="1065"/>
    <w:link w:val="1066"/>
    <w:pPr>
      <w:pBdr/>
      <w:spacing/>
      <w:ind/>
    </w:pPr>
    <w:rPr>
      <w:lang w:val="en-US"/>
    </w:rPr>
  </w:style>
  <w:style w:type="character" w:styleId="1066">
    <w:name w:val="Текст примечания Знак"/>
    <w:next w:val="1066"/>
    <w:link w:val="1065"/>
    <w:pPr>
      <w:pBdr/>
      <w:spacing/>
      <w:ind/>
    </w:pPr>
    <w:rPr>
      <w:lang w:eastAsia="ar-SA"/>
    </w:rPr>
  </w:style>
  <w:style w:type="paragraph" w:styleId="1067">
    <w:name w:val="Тема примечания"/>
    <w:basedOn w:val="1065"/>
    <w:next w:val="1065"/>
    <w:link w:val="1068"/>
    <w:pPr>
      <w:pBdr/>
      <w:spacing/>
      <w:ind/>
    </w:pPr>
    <w:rPr>
      <w:b/>
      <w:bCs/>
    </w:rPr>
  </w:style>
  <w:style w:type="character" w:styleId="1068">
    <w:name w:val="Тема примечания Знак"/>
    <w:next w:val="1068"/>
    <w:link w:val="1067"/>
    <w:pPr>
      <w:pBdr/>
      <w:spacing/>
      <w:ind/>
    </w:pPr>
    <w:rPr>
      <w:b/>
      <w:bCs/>
      <w:lang w:eastAsia="ar-SA"/>
    </w:rPr>
  </w:style>
  <w:style w:type="character" w:styleId="1069">
    <w:name w:val="Заголовок 7 Знак"/>
    <w:next w:val="1069"/>
    <w:link w:val="974"/>
    <w:semiHidden/>
    <w:pPr>
      <w:pBdr/>
      <w:spacing/>
      <w:ind/>
    </w:pPr>
    <w:rPr>
      <w:rFonts w:ascii="Calibri" w:hAnsi="Calibri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MoBIL GROUP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creator>ВНЧернова</dc:creator>
  <cp:revision>230</cp:revision>
  <dcterms:created xsi:type="dcterms:W3CDTF">2015-07-02T04:24:00Z</dcterms:created>
  <dcterms:modified xsi:type="dcterms:W3CDTF">2025-03-27T09:06:13Z</dcterms:modified>
  <cp:version>786432</cp:version>
</cp:coreProperties>
</file>