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Style w:val="946"/>
        <w:pBdr/>
        <w:tabs>
          <w:tab w:val="clear" w:leader="none" w:pos="4153"/>
          <w:tab w:val="clear" w:leader="none" w:pos="8306"/>
        </w:tabs>
        <w:spacing/>
        <w:ind/>
        <w:jc w:val="center"/>
        <w:rPr>
          <w:b/>
        </w:rPr>
      </w:pPr>
      <w:r>
        <w:rPr>
          <w:b/>
        </w:rPr>
      </w:r>
      <w:r>
        <w:rPr>
          <w:b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25780" cy="594360"/>
                <wp:effectExtent l="0" t="0" r="0" b="0"/>
                <wp:docPr id="1" name="_x0000_i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525780" cy="594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beve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0" o:spid="_x0000_s0" type="#_x0000_t75" style="width:41.40pt;height:46.80pt;mso-wrap-distance-left:0.00pt;mso-wrap-distance-top:0.00pt;mso-wrap-distance-right:0.00pt;mso-wrap-distance-bottom:0.00pt;z-index:1;" stroked="f">
                <v:imagedata r:id="rId10" o:title=""/>
                <o:lock v:ext="edit" rotation="t"/>
              </v:shape>
            </w:pict>
          </mc:Fallback>
        </mc:AlternateContent>
      </w:r>
      <w:r>
        <w:rPr>
          <w:b/>
        </w:rPr>
      </w:r>
      <w:r>
        <w:rPr>
          <w:b/>
        </w:rPr>
      </w:r>
    </w:p>
    <w:p>
      <w:pPr>
        <w:pStyle w:val="946"/>
        <w:pBdr/>
        <w:tabs>
          <w:tab w:val="clear" w:leader="none" w:pos="4153"/>
          <w:tab w:val="clear" w:leader="none" w:pos="8306"/>
        </w:tabs>
        <w:spacing/>
        <w:ind/>
        <w:jc w:val="center"/>
        <w:rPr>
          <w:lang w:val="en-US"/>
        </w:rPr>
      </w:pPr>
      <w:r>
        <w:rPr>
          <w:lang w:val="en-US"/>
        </w:rPr>
      </w:r>
      <w:r>
        <w:rPr>
          <w:lang w:val="en-US"/>
        </w:rPr>
      </w:r>
      <w:r>
        <w:rPr>
          <w:lang w:val="en-US"/>
        </w:rPr>
      </w:r>
    </w:p>
    <w:tbl>
      <w:tblPr>
        <w:tblW w:w="960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0A0" w:firstRow="1" w:lastRow="0" w:firstColumn="1" w:lastColumn="0" w:noHBand="0" w:noVBand="0"/>
      </w:tblPr>
      <w:tblGrid>
        <w:gridCol w:w="9606"/>
      </w:tblGrid>
      <w:tr>
        <w:trPr>
          <w:trHeight w:val="1020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606" w:type="dxa"/>
            <w:textDirection w:val="lrTb"/>
            <w:noWrap w:val="false"/>
          </w:tcPr>
          <w:p>
            <w:pPr>
              <w:pStyle w:val="759"/>
              <w:pBdr/>
              <w:spacing w:after="0"/>
              <w:ind/>
              <w:rPr>
                <w:rFonts w:ascii="Times New Roman" w:hAnsi="Times New Roman"/>
                <w:spacing w:val="20"/>
                <w:sz w:val="28"/>
                <w:szCs w:val="28"/>
              </w:rPr>
            </w:pPr>
            <w:r>
              <w:rPr>
                <w:rFonts w:ascii="Times New Roman" w:hAnsi="Times New Roman"/>
                <w:spacing w:val="20"/>
                <w:sz w:val="28"/>
                <w:szCs w:val="28"/>
              </w:rPr>
              <w:t xml:space="preserve">АДМИНИСТРАЦИЯ ГОРОДА НОВОАЛТАЙСКА</w:t>
            </w:r>
            <w:r>
              <w:rPr>
                <w:rFonts w:ascii="Times New Roman" w:hAnsi="Times New Roman"/>
                <w:spacing w:val="20"/>
                <w:sz w:val="28"/>
                <w:szCs w:val="28"/>
              </w:rPr>
            </w:r>
            <w:r>
              <w:rPr>
                <w:rFonts w:ascii="Times New Roman" w:hAnsi="Times New Roman"/>
                <w:spacing w:val="20"/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АЛТАЙСКОГО КРАЯ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</w:r>
            <w:r>
              <w:rPr>
                <w:rFonts w:ascii="Arial" w:hAnsi="Arial"/>
                <w:sz w:val="28"/>
                <w:szCs w:val="28"/>
              </w:rPr>
            </w:r>
            <w:r>
              <w:rPr>
                <w:rFonts w:ascii="Arial" w:hAnsi="Arial"/>
                <w:sz w:val="28"/>
                <w:szCs w:val="28"/>
              </w:rPr>
            </w:r>
          </w:p>
          <w:p>
            <w:pPr>
              <w:pStyle w:val="754"/>
              <w:pBdr/>
              <w:spacing/>
              <w:ind/>
              <w:rPr>
                <w:rFonts w:ascii="Arial" w:hAnsi="Arial"/>
                <w:b/>
                <w:spacing w:val="84"/>
                <w:sz w:val="32"/>
                <w:szCs w:val="32"/>
              </w:rPr>
            </w:pPr>
            <w:r>
              <w:rPr>
                <w:rFonts w:ascii="Arial" w:hAnsi="Arial"/>
                <w:b/>
                <w:spacing w:val="84"/>
                <w:sz w:val="32"/>
                <w:szCs w:val="32"/>
              </w:rPr>
              <w:t xml:space="preserve">ПОСТАНОВЛЕНИЕ</w:t>
            </w:r>
            <w:r>
              <w:rPr>
                <w:rFonts w:ascii="Arial" w:hAnsi="Arial"/>
                <w:b/>
                <w:spacing w:val="84"/>
                <w:sz w:val="32"/>
                <w:szCs w:val="32"/>
              </w:rPr>
            </w:r>
            <w:r>
              <w:rPr>
                <w:rFonts w:ascii="Arial" w:hAnsi="Arial"/>
                <w:b/>
                <w:spacing w:val="84"/>
                <w:sz w:val="32"/>
                <w:szCs w:val="32"/>
              </w:rPr>
            </w:r>
          </w:p>
          <w:p>
            <w:pPr>
              <w:pBdr/>
              <w:spacing/>
              <w:ind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700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606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25.03.2025                                                                                                         № 595</w:t>
            </w:r>
            <w:r>
              <w:rPr>
                <w:sz w:val="28"/>
                <w:szCs w:val="28"/>
              </w:rPr>
            </w:r>
          </w:p>
          <w:p>
            <w:pPr>
              <w:pBdr/>
              <w:spacing/>
              <w:ind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г. Новоалтайск</w:t>
            </w:r>
            <w:r>
              <w:rPr>
                <w:sz w:val="27"/>
                <w:szCs w:val="27"/>
              </w:rPr>
            </w:r>
            <w:r>
              <w:rPr>
                <w:sz w:val="27"/>
                <w:szCs w:val="27"/>
              </w:rPr>
            </w:r>
          </w:p>
        </w:tc>
      </w:tr>
    </w:tbl>
    <w:p>
      <w:pPr>
        <w:pBdr/>
        <w:spacing/>
        <w:ind w:firstLine="720"/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tbl>
      <w:tblPr>
        <w:tblStyle w:val="802"/>
        <w:tblW w:w="0" w:type="auto"/>
        <w:tblBorders/>
        <w:tblLayout w:type="fixed"/>
        <w:tblLook w:val="04A0" w:firstRow="1" w:lastRow="0" w:firstColumn="1" w:lastColumn="0" w:noHBand="0" w:noVBand="1"/>
      </w:tblPr>
      <w:tblGrid>
        <w:gridCol w:w="4927"/>
        <w:gridCol w:w="4921"/>
      </w:tblGrid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927" w:type="dxa"/>
            <w:textDirection w:val="lrTb"/>
            <w:noWrap w:val="false"/>
          </w:tcPr>
          <w:p>
            <w:pPr>
              <w:pStyle w:val="740"/>
              <w:pBdr/>
              <w:spacing/>
              <w:ind w:right="-111" w:firstLine="0"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внесении изменений в постановление Администрации города Новоалтайска </w:t>
            </w:r>
            <w:r>
              <w:rPr>
                <w:sz w:val="28"/>
                <w:szCs w:val="28"/>
              </w:rPr>
              <w:t xml:space="preserve">от 28.12.2020 № 2031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921" w:type="dxa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Bdr/>
        <w:spacing/>
        <w:ind w:right="4530" w:firstLine="0" w:left="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right="4530" w:firstLine="0" w:left="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right="4530" w:firstLine="0" w:left="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false"/>
        <w:pBdr/>
        <w:spacing w:after="0" w:line="276" w:lineRule="auto"/>
        <w:ind w:right="0" w:firstLine="709"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Федеральным законом Российской Федерации </w:t>
      </w:r>
      <w:r>
        <w:rPr>
          <w:rFonts w:ascii="Times New Roman" w:hAnsi="Times New Roman" w:cs="Times New Roman"/>
          <w:sz w:val="28"/>
          <w:szCs w:val="28"/>
        </w:rPr>
        <w:br/>
        <w:t xml:space="preserve">от 06.10.2003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 п о с т а н о в л я ю: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86"/>
        <w:numPr>
          <w:ilvl w:val="0"/>
          <w:numId w:val="26"/>
        </w:numPr>
        <w:pBdr/>
        <w:spacing/>
        <w:ind w:right="0" w:firstLine="709" w:left="0"/>
        <w:jc w:val="both"/>
        <w:rPr>
          <w:sz w:val="28"/>
          <w:szCs w:val="28"/>
          <w14:ligatures w14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постановление Администрации города Новоалтайска </w:t>
        <w:br/>
        <w:t xml:space="preserve">от </w:t>
      </w:r>
      <w:r>
        <w:rPr>
          <w:sz w:val="28"/>
          <w:szCs w:val="28"/>
        </w:rPr>
        <w:t xml:space="preserve">28.12.2020 № 2031 </w:t>
      </w:r>
      <w:r>
        <w:rPr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муниципальной программы «Поддержка и развитие малого и среднего предпринимательства на территории города Новоалтайска на 2021-2025 годы</w:t>
      </w:r>
      <w:r>
        <w:rPr>
          <w:sz w:val="28"/>
          <w:szCs w:val="28"/>
        </w:rPr>
        <w:t xml:space="preserve">» следующее изменение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pStyle w:val="740"/>
        <w:pBdr/>
        <w:spacing/>
        <w:ind w:right="0" w:firstLine="709" w:left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приложение к постановлению изложить в новой редакции согласно</w:t>
      </w:r>
      <w:r>
        <w:rPr>
          <w:color w:val="000000"/>
          <w:sz w:val="28"/>
          <w:szCs w:val="28"/>
        </w:rPr>
        <w:t xml:space="preserve"> приложению к настоящему постановлению.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spacing/>
        <w:ind w:right="0" w:firstLine="709" w:left="0"/>
        <w:jc w:val="both"/>
        <w:rPr>
          <w:rFonts w:ascii="Times New Roman" w:hAnsi="Times New Roman" w:cs="Times New Roman"/>
          <w:sz w:val="28"/>
          <w:szCs w:val="28"/>
          <w14:ligatures w14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Вестнике городского округа город Новоалтайск Алтайского края и разместить на официальном сайте  города Новоалтайска в сети «Интернет».</w:t>
      </w:r>
      <w:r>
        <w:rPr>
          <w:rFonts w:ascii="Times New Roman" w:hAnsi="Times New Roman" w:cs="Times New Roman"/>
          <w:sz w:val="28"/>
          <w:szCs w:val="28"/>
          <w14:ligatures w14:val="none"/>
        </w:rPr>
      </w:r>
      <w:r>
        <w:rPr>
          <w:rFonts w:ascii="Times New Roman" w:hAnsi="Times New Roman" w:cs="Times New Roman"/>
          <w:sz w:val="28"/>
          <w:szCs w:val="28"/>
          <w14:ligatures w14:val="none"/>
        </w:rPr>
      </w:r>
    </w:p>
    <w:p>
      <w:pPr>
        <w:pStyle w:val="740"/>
        <w:pBdr/>
        <w:spacing/>
        <w:ind w:right="0" w:firstLine="709"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</w:t>
      </w:r>
      <w:r>
        <w:rPr>
          <w:rFonts w:ascii="Times New Roman" w:hAnsi="Times New Roman" w:cs="Times New Roman"/>
          <w:sz w:val="28"/>
          <w:szCs w:val="28"/>
        </w:rPr>
        <w:t xml:space="preserve"> Контроль за исполнением настоящего постановления возложить 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заместителя главы Администрации города Новоалтайска </w:t>
      </w:r>
      <w:r>
        <w:rPr>
          <w:rFonts w:ascii="Times New Roman" w:hAnsi="Times New Roman" w:cs="Times New Roman"/>
          <w:sz w:val="28"/>
          <w:szCs w:val="28"/>
        </w:rPr>
        <w:br/>
        <w:t xml:space="preserve">Катушонок Е.В.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tabs>
          <w:tab w:val="left" w:leader="none" w:pos="1134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Bdr/>
        <w:tabs>
          <w:tab w:val="left" w:leader="none" w:pos="1134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9639" w:type="dxa"/>
        <w:tblInd w:w="108" w:type="dxa"/>
        <w:tblBorders/>
        <w:tblLayout w:type="fixed"/>
        <w:tblLook w:val="0000" w:firstRow="0" w:lastRow="0" w:firstColumn="0" w:lastColumn="0" w:noHBand="0" w:noVBand="0"/>
      </w:tblPr>
      <w:tblGrid>
        <w:gridCol w:w="5046"/>
        <w:gridCol w:w="4593"/>
      </w:tblGrid>
      <w:tr>
        <w:trPr/>
        <w:tc>
          <w:tcPr>
            <w:tcBorders/>
            <w:tcW w:w="5046" w:type="dxa"/>
            <w:textDirection w:val="lrTb"/>
            <w:noWrap w:val="false"/>
          </w:tcPr>
          <w:p>
            <w:pPr>
              <w:pStyle w:val="953"/>
              <w:pBdr/>
              <w:spacing w:line="240" w:lineRule="auto"/>
              <w:ind w:hanging="108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города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/>
            <w:tcW w:w="4593" w:type="dxa"/>
            <w:textDirection w:val="lrTb"/>
            <w:noWrap w:val="false"/>
          </w:tcPr>
          <w:p>
            <w:pPr>
              <w:pBdr/>
              <w:spacing/>
              <w:ind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В.Г. Бодунов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Bdr/>
        <w:spacing/>
        <w:ind/>
        <w:jc w:val="both"/>
        <w:rPr>
          <w:sz w:val="28"/>
        </w:rPr>
        <w:sectPr>
          <w:headerReference w:type="default" r:id="rId9"/>
          <w:footnotePr/>
          <w:endnotePr/>
          <w:type w:val="continuous"/>
          <w:pgSz w:h="16800" w:orient="portrait" w:w="11900"/>
          <w:pgMar w:top="567" w:right="567" w:bottom="1134" w:left="1701" w:header="567" w:footer="567" w:gutter="0"/>
          <w:cols w:num="1" w:sep="0" w:space="720" w:equalWidth="1"/>
          <w:titlePg/>
        </w:sect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tbl>
      <w:tblPr>
        <w:tblW w:w="0" w:type="auto"/>
        <w:tblInd w:w="4962" w:type="dxa"/>
        <w:tblBorders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4383"/>
      </w:tblGrid>
      <w:tr>
        <w:trPr>
          <w:trHeight w:val="626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38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pBdr/>
              <w:spacing/>
              <w:ind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постановлению Администрации города Новоалтайска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pBdr/>
              <w:spacing/>
              <w:ind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25.03.2025 № 595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>
          <w:trHeight w:val="1423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38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«Приложение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pBdr/>
              <w:spacing/>
              <w:ind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постановлению Администрации города Новоалтайска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pBdr/>
              <w:spacing/>
              <w:ind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 xml:space="preserve">28.12.2020 </w:t>
            </w:r>
            <w:r>
              <w:rPr>
                <w:sz w:val="28"/>
                <w:szCs w:val="28"/>
              </w:rPr>
              <w:t xml:space="preserve">№</w:t>
            </w:r>
            <w:r>
              <w:rPr>
                <w:sz w:val="28"/>
                <w:szCs w:val="28"/>
              </w:rPr>
              <w:t xml:space="preserve"> 2031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740"/>
        <w:pBdr/>
        <w:spacing/>
        <w:ind/>
        <w:jc w:val="center"/>
        <w:outlineLvl w:val="0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740"/>
        <w:pBdr/>
        <w:spacing/>
        <w:ind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«</w:t>
      </w:r>
      <w:r>
        <w:rPr>
          <w:sz w:val="28"/>
          <w:szCs w:val="28"/>
          <w:shd w:val="clear" w:color="auto" w:fill="ffffff"/>
        </w:rPr>
        <w:t xml:space="preserve">Поддержка и развитие малого и среднего предпринимательства </w:t>
      </w:r>
      <w:r>
        <w:rPr>
          <w:sz w:val="28"/>
          <w:szCs w:val="28"/>
          <w:shd w:val="clear" w:color="auto" w:fill="ffffff"/>
        </w:rPr>
        <w:br/>
      </w:r>
      <w:r>
        <w:rPr>
          <w:sz w:val="28"/>
          <w:szCs w:val="28"/>
          <w:shd w:val="clear" w:color="auto" w:fill="ffffff"/>
        </w:rPr>
        <w:t xml:space="preserve">на территории города Новоалтайска на 2021-2025 годы</w:t>
      </w:r>
      <w:r>
        <w:rPr>
          <w:sz w:val="28"/>
          <w:szCs w:val="28"/>
          <w:shd w:val="clear" w:color="auto" w:fill="ffffff"/>
        </w:rPr>
        <w:t xml:space="preserve">»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2880"/>
        </w:tabs>
        <w:spacing/>
        <w:ind/>
        <w:jc w:val="center"/>
        <w:outlineLvl w:val="0"/>
        <w:rPr/>
      </w:pPr>
      <w:r>
        <w:rPr>
          <w:sz w:val="28"/>
          <w:szCs w:val="28"/>
        </w:rPr>
        <w:t xml:space="preserve"> (далее – Программа)</w:t>
      </w:r>
      <w:r/>
    </w:p>
    <w:p>
      <w:pPr>
        <w:pStyle w:val="965"/>
        <w:widowControl w:val="true"/>
        <w:pBdr/>
        <w:spacing/>
        <w:ind w:firstLine="0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965"/>
        <w:widowControl w:val="true"/>
        <w:pBdr/>
        <w:spacing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. Паспорт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Программы.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65"/>
        <w:widowControl w:val="true"/>
        <w:pBdr/>
        <w:spacing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0" w:type="auto"/>
        <w:tblInd w:w="62" w:type="dxa"/>
        <w:tblBorders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>
        <w:trPr>
          <w:trHeight w:val="114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исполнитель Программы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229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>
              <w:rPr>
                <w:sz w:val="28"/>
                <w:szCs w:val="28"/>
              </w:rPr>
              <w:t xml:space="preserve">по развитию предпринимательства и рыночной инфраструктуры комитета по экономической политике </w:t>
              <w:br/>
              <w:t xml:space="preserve">и инвестициям Администрации города Новоалтайска</w:t>
            </w:r>
            <w:r>
              <w:rPr>
                <w:sz w:val="28"/>
                <w:szCs w:val="28"/>
              </w:rPr>
              <w:t xml:space="preserve"> (далее</w:t>
            </w:r>
            <w:r>
              <w:rPr>
                <w:sz w:val="28"/>
                <w:szCs w:val="28"/>
              </w:rPr>
              <w:t xml:space="preserve"> Отдел)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>
          <w:trHeight w:val="62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Участники Программы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229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>
              <w:rPr>
                <w:sz w:val="28"/>
                <w:szCs w:val="28"/>
              </w:rPr>
              <w:t xml:space="preserve">по развитию предпринимательства и рыночной инфраструктуры комитета по экономической политике </w:t>
              <w:br/>
              <w:t xml:space="preserve">и инвестициям Администрации города Новоалтайска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Подпрограммы Программы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229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Цель Программы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229" w:type="dxa"/>
            <w:vAlign w:val="top"/>
            <w:textDirection w:val="lrTb"/>
            <w:noWrap w:val="false"/>
          </w:tcPr>
          <w:p>
            <w:pPr>
              <w:pStyle w:val="965"/>
              <w:widowControl w:val="true"/>
              <w:pBdr/>
              <w:spacing/>
              <w:ind w:firstLine="0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благоприятных условий для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устойчивого функционирования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развития малого </w:t>
              <w:br/>
              <w:t xml:space="preserve">и среднего предпринимательства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территории города Новоалтайска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Задачи Программы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229" w:type="dxa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 </w:t>
            </w:r>
            <w:r>
              <w:rPr>
                <w:sz w:val="28"/>
                <w:szCs w:val="28"/>
              </w:rPr>
              <w:t xml:space="preserve">Финансово-кредитная поддержка субъектов малого и среднего предпринимательства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widowControl w:val="false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Повышение конкурентоспособности, узнавае</w:t>
            </w:r>
            <w:r>
              <w:rPr>
                <w:sz w:val="28"/>
                <w:szCs w:val="28"/>
              </w:rPr>
              <w:t xml:space="preserve">мости и продвижение н</w:t>
            </w:r>
            <w:r>
              <w:rPr>
                <w:sz w:val="28"/>
                <w:szCs w:val="28"/>
              </w:rPr>
              <w:t xml:space="preserve">овоалтайских</w:t>
            </w:r>
            <w:r>
              <w:rPr>
                <w:sz w:val="28"/>
                <w:szCs w:val="28"/>
              </w:rPr>
              <w:t xml:space="preserve"> субъектов малого и среднего предпринимательства (далее - СМСП)</w:t>
            </w:r>
            <w:r>
              <w:rPr>
                <w:sz w:val="28"/>
                <w:szCs w:val="28"/>
              </w:rPr>
              <w:t xml:space="preserve">, в том числе популяризация предпринимательской деятельности.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widowControl w:val="false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Создание условий для обеспечения жителей города доступными услугами и товарами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Целевые индикаторы и показатели Программы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229" w:type="dxa"/>
            <w:vAlign w:val="top"/>
            <w:textDirection w:val="lrTb"/>
            <w:noWrap w:val="false"/>
          </w:tcPr>
          <w:p>
            <w:pPr>
              <w:pStyle w:val="965"/>
              <w:widowControl w:val="true"/>
              <w:pBdr/>
              <w:spacing/>
              <w:ind w:firstLine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СМСП, получивших финансовую поддержку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;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  <w:p>
            <w:pPr>
              <w:pStyle w:val="965"/>
              <w:widowControl w:val="true"/>
              <w:pBdr/>
              <w:spacing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созданных рабочих мест, в рамках оказанной поддержки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65"/>
              <w:widowControl w:val="true"/>
              <w:pBdr/>
              <w:spacing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объема налоговых поступлений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бюджет города Новоалтайска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СМСП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получивших финансовую поддержку;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65"/>
              <w:widowControl w:val="true"/>
              <w:pBdr/>
              <w:spacing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проведенных семинаров,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круглых столов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заседаний Общественного совета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 развитию предпринимательства при Главе 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(далее ОСП)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65"/>
              <w:widowControl w:val="true"/>
              <w:pBdr/>
              <w:spacing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проведенных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ярмарочных дней;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6. </w:t>
            </w:r>
            <w:r>
              <w:rPr>
                <w:sz w:val="28"/>
                <w:szCs w:val="28"/>
              </w:rPr>
              <w:t xml:space="preserve">Обеспеченность населения площадью торговых объектов на 1000 человек населения</w:t>
            </w:r>
            <w:r>
              <w:rPr>
                <w:sz w:val="28"/>
                <w:szCs w:val="28"/>
              </w:rPr>
              <w:t xml:space="preserve">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Сроки и этапы реализации Программы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229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</w:t>
            </w:r>
            <w:r>
              <w:rPr>
                <w:sz w:val="28"/>
                <w:szCs w:val="28"/>
              </w:rPr>
              <w:t xml:space="preserve"> – </w:t>
            </w:r>
            <w:r>
              <w:rPr>
                <w:sz w:val="28"/>
                <w:szCs w:val="28"/>
              </w:rPr>
              <w:t xml:space="preserve">2025</w:t>
            </w:r>
            <w:r>
              <w:rPr>
                <w:sz w:val="28"/>
                <w:szCs w:val="28"/>
              </w:rPr>
              <w:t xml:space="preserve"> годы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Объемы финансирования Программы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229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both"/>
              <w:rPr>
                <w:color w:val="000000" w:themeColor="text1"/>
                <w:sz w:val="28"/>
                <w:szCs w:val="28"/>
                <w:u w:val="none"/>
              </w:rPr>
            </w:pPr>
            <w:r>
              <w:rPr>
                <w:color w:val="000000" w:themeColor="text1"/>
                <w:sz w:val="28"/>
                <w:szCs w:val="28"/>
                <w:u w:val="none"/>
              </w:rPr>
              <w:t xml:space="preserve">Общий объем финан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сирования Программы составляет </w:t>
              <w:br/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8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37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,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1 тыс. рублей:</w:t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color w:val="000000" w:themeColor="text1"/>
                <w:sz w:val="28"/>
                <w:szCs w:val="28"/>
                <w:u w:val="none"/>
              </w:rPr>
            </w:pPr>
            <w:r>
              <w:rPr>
                <w:color w:val="000000" w:themeColor="text1"/>
                <w:sz w:val="28"/>
                <w:szCs w:val="28"/>
                <w:u w:val="none"/>
              </w:rPr>
              <w:t xml:space="preserve">Финансирование по годам: </w:t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b/>
                <w:color w:val="000000" w:themeColor="text1"/>
                <w:sz w:val="28"/>
                <w:szCs w:val="28"/>
                <w:u w:val="none"/>
              </w:rPr>
            </w:pPr>
            <w:r>
              <w:rPr>
                <w:b/>
                <w:color w:val="000000" w:themeColor="text1"/>
                <w:sz w:val="28"/>
                <w:szCs w:val="28"/>
                <w:u w:val="none"/>
              </w:rPr>
              <w:t xml:space="preserve">2021 год</w:t>
            </w:r>
            <w:r>
              <w:rPr>
                <w:b/>
                <w:color w:val="000000" w:themeColor="text1"/>
                <w:sz w:val="28"/>
                <w:szCs w:val="28"/>
                <w:u w:val="none"/>
              </w:rPr>
            </w:r>
            <w:r>
              <w:rPr>
                <w:b/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color w:val="000000" w:themeColor="text1"/>
                <w:sz w:val="28"/>
                <w:szCs w:val="28"/>
                <w:u w:val="none"/>
              </w:rPr>
            </w:pPr>
            <w:r>
              <w:rPr>
                <w:color w:val="000000" w:themeColor="text1"/>
                <w:sz w:val="28"/>
                <w:szCs w:val="28"/>
                <w:u w:val="none"/>
              </w:rPr>
              <w:t xml:space="preserve">- 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128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,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2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 тыс. рублей –  средства бюджета городского округа</w:t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b/>
                <w:color w:val="000000" w:themeColor="text1"/>
                <w:sz w:val="28"/>
                <w:szCs w:val="28"/>
                <w:u w:val="none"/>
              </w:rPr>
            </w:pPr>
            <w:r>
              <w:rPr>
                <w:b/>
                <w:color w:val="000000" w:themeColor="text1"/>
                <w:sz w:val="28"/>
                <w:szCs w:val="28"/>
                <w:u w:val="none"/>
              </w:rPr>
              <w:t xml:space="preserve">2022 год</w:t>
            </w:r>
            <w:r>
              <w:rPr>
                <w:b/>
                <w:color w:val="000000" w:themeColor="text1"/>
                <w:sz w:val="28"/>
                <w:szCs w:val="28"/>
                <w:u w:val="none"/>
              </w:rPr>
            </w:r>
            <w:r>
              <w:rPr>
                <w:b/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color w:val="000000" w:themeColor="text1"/>
                <w:sz w:val="28"/>
                <w:szCs w:val="28"/>
                <w:u w:val="none"/>
              </w:rPr>
            </w:pPr>
            <w:r>
              <w:rPr>
                <w:color w:val="000000" w:themeColor="text1"/>
                <w:sz w:val="28"/>
                <w:szCs w:val="28"/>
                <w:u w:val="none"/>
              </w:rPr>
              <w:t xml:space="preserve">- 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71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,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 тыс. рублей – средства бюджета городского округа</w:t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b/>
                <w:color w:val="000000" w:themeColor="text1"/>
                <w:sz w:val="28"/>
                <w:szCs w:val="28"/>
                <w:u w:val="none"/>
              </w:rPr>
            </w:pPr>
            <w:r>
              <w:rPr>
                <w:b/>
                <w:color w:val="000000" w:themeColor="text1"/>
                <w:sz w:val="28"/>
                <w:szCs w:val="28"/>
                <w:u w:val="none"/>
              </w:rPr>
              <w:t xml:space="preserve">2023 год</w:t>
            </w:r>
            <w:r>
              <w:rPr>
                <w:b/>
                <w:color w:val="000000" w:themeColor="text1"/>
                <w:sz w:val="28"/>
                <w:szCs w:val="28"/>
                <w:u w:val="none"/>
              </w:rPr>
            </w:r>
            <w:r>
              <w:rPr>
                <w:b/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color w:val="000000" w:themeColor="text1"/>
                <w:sz w:val="28"/>
                <w:szCs w:val="28"/>
                <w:u w:val="none"/>
              </w:rPr>
            </w:pPr>
            <w:r>
              <w:rPr>
                <w:color w:val="000000" w:themeColor="text1"/>
                <w:sz w:val="28"/>
                <w:szCs w:val="28"/>
                <w:u w:val="none"/>
              </w:rPr>
              <w:t xml:space="preserve">- 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177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,8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 тыс. рублей – средства бюджета городского округа</w:t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b/>
                <w:color w:val="000000" w:themeColor="text1"/>
                <w:sz w:val="28"/>
                <w:szCs w:val="28"/>
                <w:u w:val="none"/>
              </w:rPr>
            </w:pPr>
            <w:r>
              <w:rPr>
                <w:b/>
                <w:color w:val="000000" w:themeColor="text1"/>
                <w:sz w:val="28"/>
                <w:szCs w:val="28"/>
                <w:u w:val="none"/>
              </w:rPr>
              <w:t xml:space="preserve">2024 год</w:t>
            </w:r>
            <w:r>
              <w:rPr>
                <w:b/>
                <w:color w:val="000000" w:themeColor="text1"/>
                <w:sz w:val="28"/>
                <w:szCs w:val="28"/>
                <w:u w:val="none"/>
              </w:rPr>
            </w:r>
            <w:r>
              <w:rPr>
                <w:b/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color w:val="000000" w:themeColor="text1"/>
                <w:sz w:val="28"/>
                <w:szCs w:val="28"/>
                <w:u w:val="none"/>
              </w:rPr>
            </w:pPr>
            <w:r>
              <w:rPr>
                <w:color w:val="000000" w:themeColor="text1"/>
                <w:sz w:val="28"/>
                <w:szCs w:val="28"/>
                <w:u w:val="none"/>
              </w:rPr>
              <w:t xml:space="preserve">- 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18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0,0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 тыс. рублей – средства бюджета городского округа</w:t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b/>
                <w:color w:val="000000" w:themeColor="text1"/>
                <w:sz w:val="28"/>
                <w:szCs w:val="28"/>
                <w:u w:val="none"/>
              </w:rPr>
            </w:pPr>
            <w:r>
              <w:rPr>
                <w:b/>
                <w:color w:val="000000" w:themeColor="text1"/>
                <w:sz w:val="28"/>
                <w:szCs w:val="28"/>
                <w:u w:val="none"/>
              </w:rPr>
              <w:t xml:space="preserve">2025 год</w:t>
            </w:r>
            <w:r>
              <w:rPr>
                <w:b/>
                <w:color w:val="000000" w:themeColor="text1"/>
                <w:sz w:val="28"/>
                <w:szCs w:val="28"/>
                <w:u w:val="none"/>
              </w:rPr>
            </w:r>
            <w:r>
              <w:rPr>
                <w:b/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color w:val="000000" w:themeColor="text1"/>
                <w:sz w:val="28"/>
                <w:szCs w:val="28"/>
                <w:u w:val="none"/>
              </w:rPr>
            </w:pPr>
            <w:r>
              <w:rPr>
                <w:color w:val="000000" w:themeColor="text1"/>
                <w:sz w:val="28"/>
                <w:szCs w:val="28"/>
                <w:u w:val="none"/>
              </w:rPr>
              <w:t xml:space="preserve">- 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8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0,0</w:t>
            </w:r>
            <w:r>
              <w:rPr>
                <w:color w:val="000000" w:themeColor="text1"/>
                <w:sz w:val="28"/>
                <w:szCs w:val="28"/>
                <w:u w:val="none"/>
              </w:rPr>
              <w:t xml:space="preserve"> тыс. рублей – средства бюджета городского округа</w:t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  <w:r>
              <w:rPr>
                <w:color w:val="000000" w:themeColor="text1"/>
                <w:sz w:val="28"/>
                <w:szCs w:val="28"/>
                <w:u w:val="none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u w:val="none"/>
              </w:rPr>
              <w:t xml:space="preserve">Объем финансирования подлежит ежегодному уточнению в соответствии с</w:t>
            </w:r>
            <w:r>
              <w:rPr>
                <w:sz w:val="28"/>
                <w:szCs w:val="28"/>
              </w:rPr>
              <w:t xml:space="preserve"> решением о бюджете городского округа на очередной финансовый год.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Объемы финансирования могут быть увеличены </w:t>
              <w:br/>
              <w:t xml:space="preserve">за счет привлечения субсидий федерального и краевого бюджетов, выделяемых на финансирование муниципальных Программ развития малого и среднего предпринимательства, в случае принятия соответствующих документов.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7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Ожидаемые результаты реализации Программы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229" w:type="dxa"/>
            <w:vAlign w:val="top"/>
            <w:textDirection w:val="lrTb"/>
            <w:noWrap w:val="false"/>
          </w:tcPr>
          <w:p>
            <w:pPr>
              <w:pStyle w:val="965"/>
              <w:widowControl w:val="true"/>
              <w:numPr>
                <w:ilvl w:val="0"/>
                <w:numId w:val="29"/>
              </w:numPr>
              <w:pBdr/>
              <w:spacing/>
              <w:ind w:right="147" w:firstLine="19" w:left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СМСП, получивши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х финансовую поддержку в течение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2021–2025 годов 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субъектов.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r>
          </w:p>
          <w:p>
            <w:pPr>
              <w:pStyle w:val="965"/>
              <w:widowControl w:val="true"/>
              <w:numPr>
                <w:ilvl w:val="0"/>
                <w:numId w:val="29"/>
              </w:numPr>
              <w:pBdr/>
              <w:spacing/>
              <w:ind w:right="147" w:firstLine="19" w:left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созданных рабочих мест, в рамках оказанной поддержки в теч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ение 2021–2025 годов </w:t>
              <w:br/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единиц.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</w:p>
          <w:p>
            <w:pPr>
              <w:pStyle w:val="965"/>
              <w:widowControl w:val="true"/>
              <w:numPr>
                <w:ilvl w:val="0"/>
                <w:numId w:val="29"/>
              </w:numPr>
              <w:pBdr/>
              <w:spacing/>
              <w:ind w:right="147" w:firstLine="19" w:left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У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величение объема налоговых поступлений от СМСП получивших финансовую поддержку в бюджет города Новоалтайска на 5%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</w:p>
          <w:p>
            <w:pPr>
              <w:pStyle w:val="965"/>
              <w:widowControl w:val="true"/>
              <w:numPr>
                <w:ilvl w:val="0"/>
                <w:numId w:val="29"/>
              </w:numPr>
              <w:pBdr/>
              <w:spacing/>
              <w:ind w:right="147" w:firstLine="19" w:left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проведенных семинаров, «круглых столов», заседаний ОСП в теч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ение 2021–2025 годов не менее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единицы.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</w:p>
          <w:p>
            <w:pPr>
              <w:pStyle w:val="965"/>
              <w:widowControl w:val="true"/>
              <w:numPr>
                <w:ilvl w:val="0"/>
                <w:numId w:val="29"/>
              </w:numPr>
              <w:pBdr/>
              <w:spacing/>
              <w:ind w:right="147" w:firstLine="19" w:left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ярмарочных дней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течении 2021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-2025 годов не менее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71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дня.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r>
          </w:p>
          <w:p>
            <w:pPr>
              <w:pStyle w:val="973"/>
              <w:numPr>
                <w:ilvl w:val="0"/>
                <w:numId w:val="29"/>
              </w:numPr>
              <w:pBdr/>
              <w:spacing/>
              <w:ind w:right="147" w:firstLine="19"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Обеспеченность населения площадью торговых объектов на 1000 человек населения составит не менее 1000 м.</w:t>
            </w:r>
            <w:r>
              <w:rPr>
                <w:sz w:val="28"/>
                <w:szCs w:val="28"/>
              </w:rPr>
              <w:t xml:space="preserve"> кв.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973"/>
              <w:pBdr/>
              <w:spacing/>
              <w:ind w:right="147" w:left="1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Прогнозируемые результаты муниципальной Программы могут быть пересмотрены, в зависимости от объемов финансирования муниципальной Программы.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65"/>
        <w:widowControl w:val="true"/>
        <w:pBdr/>
        <w:spacing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73"/>
        <w:numPr>
          <w:ilvl w:val="0"/>
          <w:numId w:val="31"/>
        </w:numPr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Общая характеристика сферы реализации муниципальной Программы.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4"/>
        <w:pBdr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Нормативной правовой базой для разработки Программы являются следующие нормативные правовые акты: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4"/>
        <w:pBdr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Федеральный закон </w:t>
      </w:r>
      <w:r>
        <w:rPr>
          <w:sz w:val="28"/>
          <w:szCs w:val="28"/>
        </w:rPr>
        <w:t xml:space="preserve">от 24.07.2007 № 209–ФЗ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развитии малого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и среднего предпринимательства в Российской Федерации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;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4"/>
        <w:pBdr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Федеральный закон </w:t>
      </w:r>
      <w:r>
        <w:rPr>
          <w:sz w:val="28"/>
          <w:szCs w:val="28"/>
        </w:rPr>
        <w:t xml:space="preserve">от 28.12.2009 № 381–ФЗ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Об основах государственного регулирования торговой деятельности в Российской Федерации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4"/>
        <w:pBdr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Закон</w:t>
      </w:r>
      <w:r>
        <w:rPr>
          <w:sz w:val="28"/>
          <w:szCs w:val="28"/>
        </w:rPr>
        <w:t xml:space="preserve"> Алтайского края от 17.11.2008 № 110–ЗС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развитии малого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и среднего предпринимательства в Алтайском крае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4"/>
        <w:pBdr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Закон</w:t>
      </w:r>
      <w:r>
        <w:rPr>
          <w:sz w:val="28"/>
          <w:szCs w:val="28"/>
        </w:rPr>
        <w:t xml:space="preserve"> Алтайского края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06.09.2021 № 86–ЗС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Об утверждении стратегии социально-экономического развития Алтайского края до 2035 года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;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5"/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Правительства</w:t>
      </w:r>
      <w:r>
        <w:rPr>
          <w:sz w:val="28"/>
          <w:szCs w:val="28"/>
        </w:rPr>
        <w:t xml:space="preserve"> Алтайского края от 08.12.2023 № 470 </w:t>
        <w:br/>
        <w:t xml:space="preserve">«</w:t>
      </w:r>
      <w:r>
        <w:rPr>
          <w:sz w:val="28"/>
          <w:szCs w:val="28"/>
        </w:rPr>
        <w:t xml:space="preserve">Об утверждении государственной программы Алтайского края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Развитие малого и среднего предп</w:t>
      </w:r>
      <w:r>
        <w:rPr>
          <w:sz w:val="28"/>
          <w:szCs w:val="28"/>
        </w:rPr>
        <w:t xml:space="preserve">ринимательства в Алтайском крае»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4"/>
        <w:pBdr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Настоящая Программа определяет систему мер, направленных </w:t>
        <w:br/>
        <w:t xml:space="preserve">на достижение целей </w:t>
      </w:r>
      <w:r>
        <w:rPr>
          <w:sz w:val="28"/>
          <w:szCs w:val="28"/>
        </w:rPr>
        <w:t xml:space="preserve">государственной политики в сфере поддержки </w:t>
        <w:br/>
        <w:t xml:space="preserve">и развитии малого и среднего предпринимательства на </w:t>
      </w:r>
      <w:r>
        <w:rPr>
          <w:sz w:val="28"/>
          <w:szCs w:val="28"/>
        </w:rPr>
        <w:t xml:space="preserve">муниципально</w:t>
      </w:r>
      <w:r>
        <w:rPr>
          <w:sz w:val="28"/>
          <w:szCs w:val="28"/>
        </w:rPr>
        <w:t xml:space="preserve">м уровне, а также </w:t>
      </w:r>
      <w:r>
        <w:rPr>
          <w:sz w:val="28"/>
          <w:szCs w:val="28"/>
        </w:rPr>
        <w:t xml:space="preserve">создания благоприятных условий для развития предпринимательства </w:t>
      </w:r>
      <w:r>
        <w:rPr>
          <w:sz w:val="28"/>
          <w:szCs w:val="28"/>
        </w:rPr>
        <w:t xml:space="preserve">на территории города Новоалтайска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widowControl w:val="false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 xml:space="preserve">период</w:t>
      </w:r>
      <w:r>
        <w:rPr>
          <w:sz w:val="28"/>
          <w:szCs w:val="28"/>
        </w:rPr>
        <w:t xml:space="preserve"> действия муниципальной Программы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Поддержка и развитие малого и среднего предпринимательства в городе Новоалтайске на 2016-2020 годы</w:t>
      </w:r>
      <w:r>
        <w:rPr>
          <w:sz w:val="28"/>
          <w:szCs w:val="28"/>
        </w:rPr>
        <w:t xml:space="preserve">»: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3"/>
        <w:widowControl w:val="false"/>
        <w:numPr>
          <w:ilvl w:val="0"/>
          <w:numId w:val="30"/>
        </w:numPr>
        <w:pBdr/>
        <w:spacing/>
        <w:ind w:firstLine="705"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 субъектов СМСП, зарегистрированных на территории города, получили финансовую поддержку;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3"/>
        <w:widowControl w:val="false"/>
        <w:numPr>
          <w:ilvl w:val="0"/>
          <w:numId w:val="30"/>
        </w:numPr>
        <w:pBdr/>
        <w:spacing/>
        <w:ind w:firstLine="705"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Произошел рост численности занятых на малых и средних предприятиях</w:t>
      </w:r>
      <w:r>
        <w:rPr>
          <w:sz w:val="28"/>
          <w:szCs w:val="28"/>
        </w:rPr>
        <w:t xml:space="preserve">, города Новоалтайска в рамках оказанной финансовой поддержки (более 36 рабочих мест);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3"/>
        <w:widowControl w:val="false"/>
        <w:numPr>
          <w:ilvl w:val="0"/>
          <w:numId w:val="30"/>
        </w:numPr>
        <w:pBdr/>
        <w:spacing/>
        <w:ind w:firstLine="705"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Прослеживается положительная динамика роста налоговых поступлений в бюджет городского округа от субъектов СМСП получивших финансовую поддержку (прирост на 31,7%);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3"/>
        <w:widowControl w:val="false"/>
        <w:numPr>
          <w:ilvl w:val="0"/>
          <w:numId w:val="30"/>
        </w:numPr>
        <w:pBdr/>
        <w:spacing/>
        <w:ind w:firstLine="705"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 целях обеспечения населения города качественными продуктами питания и </w:t>
      </w:r>
      <w:r>
        <w:rPr>
          <w:sz w:val="28"/>
          <w:szCs w:val="28"/>
        </w:rPr>
        <w:t xml:space="preserve">создания</w:t>
      </w:r>
      <w:r>
        <w:rPr>
          <w:sz w:val="28"/>
          <w:szCs w:val="28"/>
        </w:rPr>
        <w:t xml:space="preserve"> условий для реализации населением </w:t>
      </w:r>
      <w:r>
        <w:rPr>
          <w:sz w:val="28"/>
          <w:szCs w:val="28"/>
        </w:rPr>
        <w:br/>
        <w:t xml:space="preserve">и организациями города </w:t>
      </w:r>
      <w:r>
        <w:rPr>
          <w:sz w:val="28"/>
          <w:szCs w:val="28"/>
        </w:rPr>
        <w:t xml:space="preserve">излишков сельскохозяйственной продукции</w:t>
      </w:r>
      <w:r>
        <w:rPr>
          <w:sz w:val="28"/>
          <w:szCs w:val="28"/>
        </w:rPr>
        <w:t xml:space="preserve"> о</w:t>
      </w:r>
      <w:r>
        <w:rPr>
          <w:sz w:val="28"/>
          <w:szCs w:val="28"/>
        </w:rPr>
        <w:t xml:space="preserve">беспе</w:t>
      </w:r>
      <w:r>
        <w:rPr>
          <w:sz w:val="28"/>
          <w:szCs w:val="28"/>
        </w:rPr>
        <w:t xml:space="preserve">чено проведение ярмарочных дней (более 110 ярмарочных дней).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Малые и средние предприятия охватывают</w:t>
      </w:r>
      <w:r>
        <w:rPr>
          <w:sz w:val="28"/>
          <w:szCs w:val="28"/>
        </w:rPr>
        <w:t xml:space="preserve"> все основные </w:t>
      </w:r>
      <w:r>
        <w:rPr>
          <w:sz w:val="28"/>
          <w:szCs w:val="28"/>
        </w:rPr>
        <w:t xml:space="preserve">виды экономической деятельности, а в работу</w:t>
      </w:r>
      <w:r>
        <w:rPr>
          <w:sz w:val="28"/>
          <w:szCs w:val="28"/>
        </w:rPr>
        <w:t xml:space="preserve"> вовлечены все социальные груп</w:t>
      </w:r>
      <w:r>
        <w:rPr>
          <w:sz w:val="28"/>
          <w:szCs w:val="28"/>
        </w:rPr>
        <w:t xml:space="preserve">пы жителей города Новоалтайска.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Основным видом деятельности для СМСП </w:t>
      </w:r>
      <w:r>
        <w:rPr>
          <w:sz w:val="28"/>
          <w:szCs w:val="28"/>
        </w:rPr>
        <w:t xml:space="preserve">города Новоалтайска является торговля, которая составляет более 40%, </w:t>
      </w:r>
      <w:r>
        <w:rPr>
          <w:sz w:val="28"/>
          <w:szCs w:val="28"/>
        </w:rPr>
        <w:t xml:space="preserve">на производство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и строительство приходится </w:t>
      </w:r>
      <w:r>
        <w:rPr>
          <w:sz w:val="28"/>
          <w:szCs w:val="28"/>
        </w:rPr>
        <w:t xml:space="preserve">более 25</w:t>
      </w:r>
      <w:r>
        <w:rPr>
          <w:sz w:val="28"/>
          <w:szCs w:val="28"/>
        </w:rPr>
        <w:t xml:space="preserve">% от общей отраслевой структуры малого предпринимательства. </w:t>
      </w: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 xml:space="preserve">период</w:t>
      </w:r>
      <w:r>
        <w:rPr>
          <w:sz w:val="28"/>
          <w:szCs w:val="28"/>
        </w:rPr>
        <w:t xml:space="preserve"> действия муниципальной Программы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Поддержка и развитие малого и среднего предпринимательства в городе Новоалтайске на 2016-2020 годы</w:t>
      </w:r>
      <w:r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отмечается</w:t>
      </w:r>
      <w:r>
        <w:rPr>
          <w:sz w:val="28"/>
          <w:szCs w:val="28"/>
        </w:rPr>
        <w:t xml:space="preserve"> положительный</w:t>
      </w:r>
      <w:r>
        <w:rPr>
          <w:sz w:val="28"/>
          <w:szCs w:val="28"/>
        </w:rPr>
        <w:t xml:space="preserve"> рост численности </w:t>
      </w:r>
      <w:r>
        <w:rPr>
          <w:sz w:val="28"/>
          <w:szCs w:val="28"/>
        </w:rPr>
        <w:t xml:space="preserve">СМСП в сфере образования,</w:t>
      </w:r>
      <w:r>
        <w:rPr>
          <w:sz w:val="28"/>
          <w:szCs w:val="28"/>
        </w:rPr>
        <w:t xml:space="preserve"> здравоохранения</w:t>
      </w:r>
      <w:r>
        <w:rPr>
          <w:sz w:val="28"/>
          <w:szCs w:val="28"/>
        </w:rPr>
        <w:t xml:space="preserve">, спорта и оказания услуг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</w:tabs>
        <w:spacing/>
        <w:ind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rStyle w:val="976"/>
          <w:sz w:val="28"/>
          <w:szCs w:val="28"/>
        </w:rPr>
        <w:t xml:space="preserve">Потребительский рынок города Новоалтайска – это активно развивающаяся сфера экономики. Составными частями потребительского рынка являются торговля, общественное питание и бытовое обслуживание.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Одним из качественных показателей состояния и развития инфраструктуры потребительского рынка является фактическая обеспеченность населения торговыми объектами. На 01.01.2020 года количество действующих стационарных торговых объектов составило 323 единиц</w:t>
      </w:r>
      <w:r>
        <w:rPr>
          <w:sz w:val="28"/>
          <w:szCs w:val="28"/>
        </w:rPr>
        <w:t xml:space="preserve">ы с</w:t>
      </w:r>
      <w:r>
        <w:rPr>
          <w:sz w:val="28"/>
          <w:szCs w:val="28"/>
        </w:rPr>
        <w:t xml:space="preserve"> общей площадью 76638 м.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кв.</w:t>
      </w:r>
      <w:r>
        <w:rPr>
          <w:sz w:val="28"/>
          <w:szCs w:val="28"/>
        </w:rPr>
        <w:t xml:space="preserve"> Таким образом, обеспеченность населения торговыми площадями в городе Новоалтайске превышает нормативную в 2 раза и составляет 1022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кв. на 1000 жителей.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  <w:tab w:val="left" w:leader="none" w:pos="90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Следует отметить наличие ряда причин и факторов, сдерживающих развитие предпринимательства: недостаточный уровень юридических </w:t>
        <w:br/>
        <w:t xml:space="preserve">и экономических знаний предпринимателей, необходимых для боле</w:t>
      </w:r>
      <w:r>
        <w:rPr>
          <w:sz w:val="28"/>
          <w:szCs w:val="28"/>
        </w:rPr>
        <w:t xml:space="preserve">е эффективного развития бизнеса, недостаток материальных и</w:t>
      </w:r>
      <w:r>
        <w:rPr>
          <w:sz w:val="28"/>
          <w:szCs w:val="28"/>
        </w:rPr>
        <w:t xml:space="preserve"> фин</w:t>
      </w:r>
      <w:r>
        <w:rPr>
          <w:sz w:val="28"/>
          <w:szCs w:val="28"/>
        </w:rPr>
        <w:t xml:space="preserve">ансовых ресурсов для организации</w:t>
      </w:r>
      <w:r>
        <w:rPr>
          <w:sz w:val="28"/>
          <w:szCs w:val="28"/>
        </w:rPr>
        <w:t xml:space="preserve"> и развития собственного дел</w:t>
      </w:r>
      <w:r>
        <w:rPr>
          <w:sz w:val="28"/>
          <w:szCs w:val="28"/>
        </w:rPr>
        <w:t xml:space="preserve">а у начинающих предпринимателей, отсутствие дополнительных каналов сбыта производимой и поставляемой продукции, низкая покупательская способностью населения города.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связи с экономической интеграцией Российской Федерации </w:t>
        <w:br/>
        <w:t xml:space="preserve">в общемировое экономическое пространство, региональная и муниципальная экономика также становитьс</w:t>
      </w:r>
      <w:r>
        <w:rPr>
          <w:sz w:val="28"/>
          <w:szCs w:val="28"/>
        </w:rPr>
        <w:t xml:space="preserve">я подвержена общемировым экономическим потрясениям и кризисам, что в сочетании с причинами и факторами сдерживающими развитие предпринимательства характеризуют предпринимательскую деятельность, как деятельность с высокой степенью риска. В свою очередь, при</w:t>
      </w:r>
      <w:r>
        <w:rPr>
          <w:sz w:val="28"/>
          <w:szCs w:val="28"/>
        </w:rPr>
        <w:t xml:space="preserve"> неприятии </w:t>
      </w:r>
      <w:r>
        <w:rPr>
          <w:sz w:val="28"/>
          <w:szCs w:val="28"/>
        </w:rPr>
        <w:t xml:space="preserve">на муниципальном уровне </w:t>
      </w:r>
      <w:r>
        <w:rPr>
          <w:sz w:val="28"/>
          <w:szCs w:val="28"/>
        </w:rPr>
        <w:t xml:space="preserve">комплексных мер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поддержки предпринимательства </w:t>
      </w:r>
      <w:r>
        <w:rPr>
          <w:sz w:val="28"/>
          <w:szCs w:val="28"/>
        </w:rPr>
        <w:t xml:space="preserve">высока вероятность сокращения</w:t>
      </w:r>
      <w:r>
        <w:rPr>
          <w:sz w:val="28"/>
          <w:szCs w:val="28"/>
        </w:rPr>
        <w:t xml:space="preserve"> количества малых </w:t>
      </w:r>
      <w:r>
        <w:rPr>
          <w:sz w:val="28"/>
          <w:szCs w:val="28"/>
        </w:rPr>
        <w:t xml:space="preserve">и средних </w:t>
      </w:r>
      <w:r>
        <w:rPr>
          <w:sz w:val="28"/>
          <w:szCs w:val="28"/>
        </w:rPr>
        <w:t xml:space="preserve">предприятий и ин</w:t>
      </w:r>
      <w:r>
        <w:rPr>
          <w:sz w:val="28"/>
          <w:szCs w:val="28"/>
        </w:rPr>
        <w:t xml:space="preserve">дивидуальных предпринимателей, </w:t>
      </w:r>
      <w:r>
        <w:rPr>
          <w:sz w:val="28"/>
          <w:szCs w:val="28"/>
        </w:rPr>
        <w:t xml:space="preserve">что приведет к уменьшению занятости населения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и поступлению налогов в бюджет</w:t>
      </w:r>
      <w:r>
        <w:rPr>
          <w:sz w:val="28"/>
          <w:szCs w:val="28"/>
        </w:rPr>
        <w:t xml:space="preserve"> городского округа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Реализация за</w:t>
      </w:r>
      <w:r>
        <w:rPr>
          <w:sz w:val="28"/>
          <w:szCs w:val="28"/>
        </w:rPr>
        <w:t xml:space="preserve">дач, определенных в Программе, </w:t>
      </w:r>
      <w:r>
        <w:rPr>
          <w:sz w:val="28"/>
          <w:szCs w:val="28"/>
        </w:rPr>
        <w:t xml:space="preserve">позволит создать наиболее благоприятные условия для у</w:t>
      </w:r>
      <w:r>
        <w:rPr>
          <w:sz w:val="28"/>
          <w:szCs w:val="28"/>
        </w:rPr>
        <w:t xml:space="preserve">стойчивого</w:t>
      </w:r>
      <w:r>
        <w:rPr>
          <w:sz w:val="28"/>
          <w:szCs w:val="28"/>
        </w:rPr>
        <w:t xml:space="preserve"> развития </w:t>
      </w:r>
      <w:r>
        <w:rPr>
          <w:sz w:val="28"/>
          <w:szCs w:val="28"/>
        </w:rPr>
        <w:t xml:space="preserve">СМСП </w:t>
        <w:br/>
        <w:t xml:space="preserve">и популяризации </w:t>
      </w:r>
      <w:r>
        <w:rPr>
          <w:sz w:val="28"/>
          <w:szCs w:val="28"/>
        </w:rPr>
        <w:t xml:space="preserve">предпринимательст</w:t>
      </w:r>
      <w:r>
        <w:rPr>
          <w:sz w:val="28"/>
          <w:szCs w:val="28"/>
        </w:rPr>
        <w:t xml:space="preserve">ва, как вида профессиональной деятельности, а также</w:t>
      </w:r>
      <w:r>
        <w:rPr>
          <w:sz w:val="28"/>
          <w:szCs w:val="28"/>
        </w:rPr>
        <w:t xml:space="preserve"> усилить его роль в социально-экономическо</w:t>
      </w:r>
      <w:r>
        <w:rPr>
          <w:sz w:val="28"/>
          <w:szCs w:val="28"/>
        </w:rPr>
        <w:t xml:space="preserve">м развитии города Новоалтайска.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</w:tabs>
        <w:spacing/>
        <w:ind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 xml:space="preserve">Система комплексной поддержки СМСП на </w:t>
      </w:r>
      <w:r>
        <w:rPr>
          <w:sz w:val="28"/>
          <w:szCs w:val="28"/>
        </w:rPr>
        <w:t xml:space="preserve">муниципальном уровне</w:t>
      </w:r>
      <w:r>
        <w:rPr>
          <w:sz w:val="28"/>
          <w:szCs w:val="28"/>
        </w:rPr>
        <w:t xml:space="preserve"> должна включать следующие обязательные элементы: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09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>
        <w:rPr>
          <w:sz w:val="28"/>
          <w:szCs w:val="28"/>
        </w:rPr>
        <w:t xml:space="preserve">развитую инфраструктуру поддержки малого и среднего предпринимательства, обеспечивающую информационное, образовательное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и консультационное сопровождение начинающих и действующих предпринимателей;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09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>
        <w:rPr>
          <w:sz w:val="28"/>
          <w:szCs w:val="28"/>
        </w:rPr>
        <w:t xml:space="preserve">обеспечение доступа </w:t>
      </w:r>
      <w:r>
        <w:rPr>
          <w:sz w:val="28"/>
          <w:szCs w:val="28"/>
        </w:rPr>
        <w:t xml:space="preserve">предпринимателей</w:t>
      </w:r>
      <w:r>
        <w:rPr>
          <w:sz w:val="28"/>
          <w:szCs w:val="28"/>
        </w:rPr>
        <w:t xml:space="preserve"> к материальным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и финансовым ресурсам, необходимым для создания и развития бизнеса;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09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>
        <w:rPr>
          <w:sz w:val="28"/>
          <w:szCs w:val="28"/>
        </w:rPr>
        <w:t xml:space="preserve">содействие в расширении рынков сбыта производимых товаров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и услуг;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09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обеспечение взаимодействия сообществ и общественных объединений предпринимателей города Новоалтайска с</w:t>
      </w:r>
      <w:r>
        <w:rPr>
          <w:sz w:val="28"/>
          <w:szCs w:val="28"/>
        </w:rPr>
        <w:t xml:space="preserve"> муниципальной </w:t>
      </w:r>
      <w:r>
        <w:rPr>
          <w:sz w:val="28"/>
          <w:szCs w:val="28"/>
        </w:rPr>
        <w:br/>
        <w:t xml:space="preserve">и региональной </w:t>
      </w:r>
      <w:r>
        <w:rPr>
          <w:sz w:val="28"/>
          <w:szCs w:val="28"/>
        </w:rPr>
        <w:t xml:space="preserve">властью;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09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популяризация</w:t>
      </w:r>
      <w:r>
        <w:rPr>
          <w:sz w:val="28"/>
          <w:szCs w:val="28"/>
        </w:rPr>
        <w:t xml:space="preserve"> предпринимательской деятельности.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09"/>
        </w:tabs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Задача по устранению административных ограничений реализуется посредством организации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Круглых столо</w:t>
      </w:r>
      <w:r>
        <w:rPr>
          <w:sz w:val="28"/>
          <w:szCs w:val="28"/>
        </w:rPr>
        <w:t xml:space="preserve">в», встреч предпринимателей </w:t>
        <w:br/>
        <w:t xml:space="preserve">с Г</w:t>
      </w:r>
      <w:r>
        <w:rPr>
          <w:sz w:val="28"/>
          <w:szCs w:val="28"/>
        </w:rPr>
        <w:t xml:space="preserve">лавой города </w:t>
      </w:r>
      <w:r>
        <w:rPr>
          <w:sz w:val="28"/>
          <w:szCs w:val="28"/>
        </w:rPr>
        <w:t xml:space="preserve">Новоалтайска </w:t>
      </w:r>
      <w:r>
        <w:rPr>
          <w:sz w:val="28"/>
          <w:szCs w:val="28"/>
        </w:rPr>
        <w:t xml:space="preserve">по проблемным вопросам предпринимательской деятельности, заседаний совместно с ОСП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по проблемам деятельности СМСП.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09"/>
        </w:tabs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Данные мероприятия позволят снизить уровень административных ограничений, наладить взаимовыгодное сотрудничество между орг</w:t>
      </w:r>
      <w:r>
        <w:rPr>
          <w:sz w:val="28"/>
          <w:szCs w:val="28"/>
        </w:rPr>
        <w:t xml:space="preserve">анами местного самоуправления и общественных объединений предпринимателей города Новоалтайска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Общая характеристика муниципальной Программы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</w:tabs>
        <w:spacing/>
        <w:ind/>
        <w:jc w:val="both"/>
        <w:rPr/>
      </w:pPr>
      <w:r/>
      <w:r/>
    </w:p>
    <w:p>
      <w:pPr>
        <w:pStyle w:val="740"/>
        <w:pBdr/>
        <w:tabs>
          <w:tab w:val="left" w:leader="none" w:pos="720"/>
        </w:tabs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3.1.</w:t>
      </w:r>
      <w:r>
        <w:rPr>
          <w:sz w:val="28"/>
          <w:szCs w:val="28"/>
        </w:rPr>
        <w:t xml:space="preserve"> Приоритеты муниципальной политики в сфере реализации муниципальной Программы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2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Малое и среднее предпринимательство является одним из основных факторов, влияющих на стабильное развитие социально-экономической жизни общества, оно </w:t>
      </w:r>
      <w:r>
        <w:rPr>
          <w:sz w:val="28"/>
          <w:szCs w:val="28"/>
        </w:rPr>
        <w:t xml:space="preserve">позволяет обеспечить</w:t>
      </w:r>
      <w:r>
        <w:rPr>
          <w:sz w:val="28"/>
          <w:szCs w:val="28"/>
        </w:rPr>
        <w:t xml:space="preserve"> население необходимыми товарами и услугами, снижает уровень</w:t>
      </w:r>
      <w:r>
        <w:rPr>
          <w:sz w:val="28"/>
          <w:szCs w:val="28"/>
        </w:rPr>
        <w:t xml:space="preserve"> безработицы,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способствует формированию конкурентной среды</w:t>
      </w:r>
      <w:r>
        <w:rPr>
          <w:sz w:val="28"/>
          <w:szCs w:val="28"/>
        </w:rPr>
        <w:t xml:space="preserve">, а также </w:t>
      </w:r>
      <w:r>
        <w:rPr>
          <w:sz w:val="28"/>
          <w:szCs w:val="28"/>
        </w:rPr>
        <w:t xml:space="preserve">является</w:t>
      </w:r>
      <w:r>
        <w:rPr>
          <w:sz w:val="28"/>
          <w:szCs w:val="28"/>
        </w:rPr>
        <w:t xml:space="preserve"> одним из основных </w:t>
      </w:r>
      <w:r>
        <w:rPr>
          <w:sz w:val="28"/>
          <w:szCs w:val="28"/>
        </w:rPr>
        <w:t xml:space="preserve">источников пополнения бюджетов всех уровней.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7"/>
        <w:pBdr/>
        <w:shd w:val="clear" w:color="auto" w:fill="ffffff"/>
        <w:spacing w:after="0" w:afterAutospacing="0" w:before="0" w:beforeAutospacing="0"/>
        <w:ind w:firstLine="708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Государственная политика в области развития малого и среднего пред</w:t>
      </w:r>
      <w:r>
        <w:rPr>
          <w:spacing w:val="2"/>
          <w:sz w:val="28"/>
          <w:szCs w:val="28"/>
        </w:rPr>
        <w:t xml:space="preserve">принимательства в Российской Федерации является частью государственной социально-экономической политики и представляет собой совокупность правовых, политических, экономических, социальных, информационных, консультационных, образовательных, организационных </w:t>
      </w:r>
      <w:r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и иных мер, осуществляемых органами государственной власти Российской Федерации, органами государственной власти субъектов Российской Федерации, органами местного самоуправления и направленных </w:t>
      </w:r>
      <w:r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на обеспечение реализации целей и принципов, установленных </w:t>
      </w:r>
      <w:r>
        <w:rPr>
          <w:spacing w:val="2"/>
          <w:sz w:val="28"/>
          <w:szCs w:val="28"/>
        </w:rPr>
        <w:t xml:space="preserve">в рамках действующего законодательства.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977"/>
        <w:pBdr/>
        <w:shd w:val="clear" w:color="auto" w:fill="ffffff"/>
        <w:spacing w:after="0" w:afterAutospacing="0" w:before="0" w:beforeAutospacing="0"/>
        <w:ind w:firstLine="708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Основными целями государственной политики в области развития малого и среднего предпринимательства в Российской Федерации являются: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977"/>
        <w:pBdr/>
        <w:shd w:val="clear" w:color="auto" w:fill="ffffff"/>
        <w:spacing w:after="0" w:afterAutospacing="0" w:before="0" w:beforeAutospacing="0"/>
        <w:ind w:firstLine="708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1) развитие субъектов малого и среднего предпринимательства в целях формирования конкурентной среды в экономике Российской Федерации;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977"/>
        <w:pBdr/>
        <w:shd w:val="clear" w:color="auto" w:fill="ffffff"/>
        <w:spacing w:after="0" w:afterAutospacing="0" w:before="0" w:beforeAutospacing="0"/>
        <w:ind w:firstLine="708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2) обеспечение благоприятных условий для развития субъектов малого и среднего предпринимательства;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977"/>
        <w:pBdr/>
        <w:shd w:val="clear" w:color="auto" w:fill="ffffff"/>
        <w:spacing w:after="0" w:afterAutospacing="0" w:before="0" w:beforeAutospacing="0"/>
        <w:ind w:firstLine="708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3) обеспечение конкурентоспособности субъектов малого и среднего предпринимательства;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977"/>
        <w:pBdr/>
        <w:shd w:val="clear" w:color="auto" w:fill="ffffff"/>
        <w:spacing w:after="0" w:afterAutospacing="0" w:before="0" w:beforeAutospacing="0"/>
        <w:ind w:firstLine="708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4) оказание содействия субъектам малого и среднего предпринимательства в продвижении производимых ими товаров (работ, услуг), результатов интеллектуальной деятельности на рынок Российской Федерации и рынки иностранных государств;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977"/>
        <w:pBdr/>
        <w:shd w:val="clear" w:color="auto" w:fill="ffffff"/>
        <w:spacing w:after="0" w:afterAutospacing="0" w:before="0" w:beforeAutospacing="0"/>
        <w:ind w:firstLine="708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5) увеличение количества субъектов малого и среднего предпринимательства;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977"/>
        <w:pBdr/>
        <w:shd w:val="clear" w:color="auto" w:fill="ffffff"/>
        <w:spacing w:after="0" w:afterAutospacing="0" w:before="0" w:beforeAutospacing="0"/>
        <w:ind w:firstLine="708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6) обеспечение занятости населения и развитие самозанятости;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977"/>
        <w:pBdr/>
        <w:shd w:val="clear" w:color="auto" w:fill="ffffff"/>
        <w:spacing w:after="0" w:afterAutospacing="0" w:before="0" w:beforeAutospacing="0"/>
        <w:ind w:firstLine="708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7) увеличение доли производимых субъектами малого и среднего предпринимательства товаров (работ, услуг) в объеме валового внутреннего продукта;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977"/>
        <w:pBdr/>
        <w:shd w:val="clear" w:color="auto" w:fill="ffffff"/>
        <w:spacing w:after="0" w:afterAutospacing="0" w:before="0" w:beforeAutospacing="0"/>
        <w:ind w:firstLine="708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8) увеличение доли уплаченных субъектами малого и среднего предпринимательства налогов в налоговых доходах федерального бюджета, бюджетов субъектов Российской Федерации и местных бюджетов.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288" w:lineRule="atLeast"/>
        <w:ind w:right="0" w:firstLine="540" w:left="0"/>
        <w:jc w:val="both"/>
        <w:rPr>
          <w:sz w:val="28"/>
          <w:szCs w:val="28"/>
          <w14:ligatures w14:val="none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Одним из стратегических </w:t>
      </w:r>
      <w:r>
        <w:rPr>
          <w:sz w:val="28"/>
          <w:szCs w:val="28"/>
        </w:rPr>
        <w:t xml:space="preserve">направлений и приоритетов Стратегии</w:t>
      </w:r>
      <w:r>
        <w:rPr>
          <w:sz w:val="28"/>
          <w:szCs w:val="28"/>
        </w:rPr>
        <w:t xml:space="preserve"> социально – эконом</w:t>
      </w:r>
      <w:r>
        <w:rPr>
          <w:sz w:val="28"/>
          <w:szCs w:val="28"/>
        </w:rPr>
        <w:t xml:space="preserve">ического развития Алтайского края на период </w:t>
        <w:br/>
        <w:t xml:space="preserve">до 2035 года, утве</w:t>
      </w:r>
      <w:r>
        <w:rPr>
          <w:sz w:val="28"/>
          <w:szCs w:val="28"/>
        </w:rPr>
        <w:t xml:space="preserve">ржденной законом Алтайского края от 06.09.2021 № 86–ЗС,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является </w:t>
      </w:r>
      <w:r>
        <w:rPr>
          <w:sz w:val="28"/>
          <w:szCs w:val="28"/>
        </w:rPr>
        <w:t xml:space="preserve">малое и среднее предпринимательство</w:t>
      </w:r>
      <w:r>
        <w:rPr>
          <w:sz w:val="28"/>
          <w:szCs w:val="28"/>
        </w:rPr>
        <w:t xml:space="preserve">. В целях улучшения отраслевой структуры экономики Алтайского края и повышения </w:t>
        <w:br/>
        <w:t xml:space="preserve">ее инновационности, а также обеспечения стабильно высокого уровня занятости и роста качества жизни населения региона, поставлены стратегические задачи: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288" w:lineRule="atLeast"/>
        <w:ind w:right="0" w:firstLine="540" w:left="0"/>
        <w:jc w:val="both"/>
        <w:rPr>
          <w:sz w:val="28"/>
          <w:szCs w:val="28"/>
          <w14:ligatures w14:val="none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1) улучшение условий ведения предпринимательской деятельности;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288" w:lineRule="atLeast"/>
        <w:ind w:right="0" w:firstLine="540" w:left="0"/>
        <w:jc w:val="both"/>
        <w:rPr>
          <w:sz w:val="28"/>
          <w:szCs w:val="28"/>
          <w14:ligatures w14:val="none"/>
        </w:rPr>
      </w:pPr>
      <w:r>
        <w:rPr>
          <w:sz w:val="28"/>
          <w:szCs w:val="28"/>
        </w:rPr>
        <w:t xml:space="preserve">2) расширение доступа субъектов МСП к финансовым ресурсам, в том числе к льготному финансированию;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288" w:lineRule="atLeast"/>
        <w:ind w:right="0" w:firstLine="540" w:left="0"/>
        <w:jc w:val="both"/>
        <w:rPr>
          <w:sz w:val="28"/>
          <w:szCs w:val="28"/>
          <w14:ligatures w14:val="none"/>
        </w:rPr>
      </w:pPr>
      <w:r>
        <w:rPr>
          <w:sz w:val="28"/>
          <w:szCs w:val="28"/>
        </w:rPr>
        <w:t xml:space="preserve">3) акселерация субъектов МСП;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288" w:lineRule="atLeast"/>
        <w:ind w:right="0" w:firstLine="540" w:left="0"/>
        <w:jc w:val="both"/>
        <w:rPr>
          <w:sz w:val="28"/>
          <w:szCs w:val="28"/>
          <w14:ligatures w14:val="none"/>
        </w:rPr>
      </w:pPr>
      <w:r>
        <w:rPr>
          <w:sz w:val="28"/>
          <w:szCs w:val="28"/>
        </w:rPr>
        <w:t xml:space="preserve">4) популяризация предпринимательства.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before="0" w:line="288" w:lineRule="atLeast"/>
        <w:ind w:right="0" w:firstLine="540"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Программы позволит решать задачи, обозначенные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в социально – экономическом развитии Алтайского края и продолжить осуществление муниципальных мероприятий по </w:t>
      </w:r>
      <w:r>
        <w:rPr>
          <w:sz w:val="28"/>
          <w:szCs w:val="28"/>
        </w:rPr>
        <w:t xml:space="preserve">развитию предпринимательства в городе Новоалтайске.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900"/>
        </w:tabs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567"/>
          <w:tab w:val="left" w:leader="none" w:pos="900"/>
        </w:tabs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>
        <w:rPr>
          <w:sz w:val="28"/>
          <w:szCs w:val="28"/>
        </w:rPr>
        <w:t xml:space="preserve">Характеристика цели, задач и конечных результатов реализации муниципальной Программы;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900"/>
        </w:tabs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567"/>
          <w:tab w:val="left" w:leader="none" w:pos="709"/>
          <w:tab w:val="left" w:leader="none" w:pos="90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Целью Программы является создание благоприятных условий для </w:t>
      </w:r>
      <w:r>
        <w:rPr>
          <w:sz w:val="28"/>
          <w:szCs w:val="28"/>
        </w:rPr>
        <w:t xml:space="preserve">устойчивого функционирования и </w:t>
      </w:r>
      <w:r>
        <w:rPr>
          <w:sz w:val="28"/>
          <w:szCs w:val="28"/>
        </w:rPr>
        <w:t xml:space="preserve">развития малого и среднего предпринимательства </w:t>
      </w:r>
      <w:r>
        <w:rPr>
          <w:sz w:val="28"/>
          <w:szCs w:val="28"/>
        </w:rPr>
        <w:t xml:space="preserve">на территории города Новоалтайска.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567"/>
          <w:tab w:val="left" w:leader="none" w:pos="709"/>
          <w:tab w:val="left" w:leader="none" w:pos="90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Для достижения поставленной цели необходимо решить следующие задачи: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widowControl w:val="false"/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Финансово-кредитная поддержка субъектов малого и среднего предпринимательства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widowControl w:val="false"/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Повышение конкурентоспособнос</w:t>
      </w:r>
      <w:r>
        <w:rPr>
          <w:sz w:val="28"/>
          <w:szCs w:val="28"/>
        </w:rPr>
        <w:t xml:space="preserve">ти, узнаваемости и продвижение н</w:t>
      </w:r>
      <w:r>
        <w:rPr>
          <w:sz w:val="28"/>
          <w:szCs w:val="28"/>
        </w:rPr>
        <w:t xml:space="preserve">овоалтайских</w:t>
      </w:r>
      <w:r>
        <w:rPr>
          <w:sz w:val="28"/>
          <w:szCs w:val="28"/>
        </w:rPr>
        <w:t xml:space="preserve"> субъектов малого и среднего предпринимательства</w:t>
      </w:r>
      <w:r>
        <w:rPr>
          <w:sz w:val="28"/>
          <w:szCs w:val="28"/>
        </w:rPr>
        <w:t xml:space="preserve">, в том числе популяризация предпринимательской деятельности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Создание условий для обеспечения жителей города доступными услугами и товарами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567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В результате реализа</w:t>
      </w:r>
      <w:r>
        <w:rPr>
          <w:sz w:val="28"/>
          <w:szCs w:val="28"/>
        </w:rPr>
        <w:t xml:space="preserve">ции мероприятий Программы в 202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 году планируется достигнуть </w:t>
      </w:r>
      <w:r>
        <w:rPr>
          <w:sz w:val="28"/>
          <w:szCs w:val="28"/>
        </w:rPr>
        <w:t xml:space="preserve">следующи</w:t>
      </w:r>
      <w:r>
        <w:rPr>
          <w:sz w:val="28"/>
          <w:szCs w:val="28"/>
        </w:rPr>
        <w:t xml:space="preserve">х </w:t>
      </w:r>
      <w:r>
        <w:rPr>
          <w:sz w:val="28"/>
          <w:szCs w:val="28"/>
        </w:rPr>
        <w:t xml:space="preserve">показател</w:t>
      </w:r>
      <w:r>
        <w:rPr>
          <w:sz w:val="28"/>
          <w:szCs w:val="28"/>
        </w:rPr>
        <w:t xml:space="preserve">ей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5"/>
        <w:widowControl w:val="true"/>
        <w:numPr>
          <w:ilvl w:val="0"/>
          <w:numId w:val="32"/>
        </w:numPr>
        <w:pBdr/>
        <w:spacing/>
        <w:ind w:right="147" w:firstLine="709" w:left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чество СМСП, получивши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 финансовую поддержку в течение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2021–2025 годов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субъектов.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</w:p>
    <w:p>
      <w:pPr>
        <w:pStyle w:val="965"/>
        <w:widowControl w:val="true"/>
        <w:numPr>
          <w:ilvl w:val="0"/>
          <w:numId w:val="32"/>
        </w:numPr>
        <w:pBdr/>
        <w:spacing/>
        <w:ind w:right="147" w:firstLine="709"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созданных рабочих мест, в рамках оказанной поддержки в теч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ение 2021–2025 годов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единиц.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965"/>
        <w:widowControl w:val="true"/>
        <w:numPr>
          <w:ilvl w:val="0"/>
          <w:numId w:val="32"/>
        </w:numPr>
        <w:pBdr/>
        <w:spacing/>
        <w:ind w:right="147" w:firstLine="709"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величение объема налоговых поступлений от СМСП получивших финансовую поддержку в бюджет города Новоалтайска на 5%.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965"/>
        <w:widowControl w:val="true"/>
        <w:numPr>
          <w:ilvl w:val="0"/>
          <w:numId w:val="32"/>
        </w:numPr>
        <w:pBdr/>
        <w:spacing/>
        <w:ind w:right="147" w:firstLine="709"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проведенных семинаров, «круглых столов», заседаний ОСП в теч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ение 2021–2025 годов не менее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единиц.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965"/>
        <w:widowControl w:val="true"/>
        <w:numPr>
          <w:ilvl w:val="0"/>
          <w:numId w:val="32"/>
        </w:numPr>
        <w:pBdr/>
        <w:spacing/>
        <w:ind w:right="147" w:firstLine="709"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проведенных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ярмарочных дней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течении 2021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-2025 годов не менее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171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дней.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973"/>
        <w:numPr>
          <w:ilvl w:val="0"/>
          <w:numId w:val="32"/>
        </w:numPr>
        <w:pBdr/>
        <w:spacing/>
        <w:ind w:right="147" w:firstLine="709" w:left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Обеспеченность населения площадью торговых</w:t>
      </w:r>
      <w:r>
        <w:rPr>
          <w:color w:val="000000" w:themeColor="text1"/>
          <w:sz w:val="28"/>
          <w:szCs w:val="28"/>
        </w:rPr>
        <w:t xml:space="preserve"> объектов на 1000 человек населения составит не менее 1000 м.</w:t>
      </w:r>
      <w:r>
        <w:rPr>
          <w:color w:val="000000" w:themeColor="text1"/>
          <w:sz w:val="28"/>
          <w:szCs w:val="28"/>
        </w:rPr>
        <w:t xml:space="preserve"> кв.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0"/>
        <w:pBdr/>
        <w:tabs>
          <w:tab w:val="left" w:leader="none" w:pos="709"/>
        </w:tabs>
        <w:spacing/>
        <w:ind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 xml:space="preserve">Сведения об индикаторах, характеризующих решение задач муниципальной Программы и их значения приведены </w:t>
      </w:r>
      <w:r>
        <w:rPr>
          <w:sz w:val="28"/>
          <w:szCs w:val="28"/>
        </w:rPr>
        <w:t xml:space="preserve">в Приложении 1.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tabs>
          <w:tab w:val="left" w:leader="none" w:pos="709"/>
        </w:tabs>
        <w:spacing/>
        <w:ind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</w:r>
      <w:r>
        <w:rPr>
          <w:b/>
          <w:sz w:val="16"/>
          <w:szCs w:val="16"/>
        </w:rPr>
      </w:r>
      <w:r>
        <w:rPr>
          <w:b/>
          <w:sz w:val="16"/>
          <w:szCs w:val="16"/>
        </w:rPr>
      </w:r>
    </w:p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о порядке расчета значений индикаторов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Программы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5"/>
        <w:pBdr/>
        <w:spacing/>
        <w:ind w:firstLine="540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tbl>
      <w:tblPr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28" w:type="dxa"/>
          <w:top w:w="0" w:type="dxa"/>
          <w:right w:w="28" w:type="dxa"/>
          <w:bottom w:w="0" w:type="dxa"/>
        </w:tblCellMar>
        <w:tblLook w:val="04A0" w:firstRow="1" w:lastRow="0" w:firstColumn="1" w:lastColumn="0" w:noHBand="0" w:noVBand="1"/>
      </w:tblPr>
      <w:tblGrid>
        <w:gridCol w:w="402"/>
        <w:gridCol w:w="2812"/>
        <w:gridCol w:w="3414"/>
        <w:gridCol w:w="2926"/>
      </w:tblGrid>
      <w:tr>
        <w:trPr>
          <w:trHeight w:val="227"/>
        </w:trPr>
        <w:tc>
          <w:tcPr>
            <w:tcBorders/>
            <w:tcW w:w="40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п/п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81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индикатора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414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Методика расчета значения целевого индикатора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92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Источник получения данных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27"/>
        </w:trPr>
        <w:tc>
          <w:tcPr>
            <w:tcBorders/>
            <w:tcW w:w="40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81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414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92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27"/>
        </w:trPr>
        <w:tc>
          <w:tcPr>
            <w:tcBorders/>
            <w:tcW w:w="40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81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СМСП, получивших финансовую поддержку в течение 2021–2025 годов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414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Значение целевого индикатора не рассчитывается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92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Протокол заседания комиссии по предоставлению финансовой поддержки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27"/>
        </w:trPr>
        <w:tc>
          <w:tcPr>
            <w:tcBorders/>
            <w:tcW w:w="40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812" w:type="auto"/>
            <w:vAlign w:val="center"/>
            <w:textDirection w:val="lrTb"/>
            <w:noWrap w:val="false"/>
          </w:tcPr>
          <w:p>
            <w:pPr>
              <w:pStyle w:val="965"/>
              <w:widowControl w:val="true"/>
              <w:pBdr/>
              <w:spacing/>
              <w:ind w:right="8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созданных рабочих мест, в рамках оказанной поддержки в течение 2021–2025 годов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414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Сумма среднесписочного количества рабочих мест субъектов малого и среднего предпринимательства получивших финансовую поддержку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92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форма КНД 1110018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среднесписочной численности работников за предшествующий календарный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27"/>
        </w:trPr>
        <w:tc>
          <w:tcPr>
            <w:tcBorders/>
            <w:tcW w:w="40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812" w:type="auto"/>
            <w:vAlign w:val="center"/>
            <w:textDirection w:val="lrTb"/>
            <w:noWrap w:val="false"/>
          </w:tcPr>
          <w:p>
            <w:pPr>
              <w:pStyle w:val="965"/>
              <w:widowControl w:val="true"/>
              <w:pBdr/>
              <w:spacing/>
              <w:ind w:right="147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величение объема налоговых поступлений от СМСП получивших финансовую поддержку в бюджет города Новоалтайска на 5%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414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 xml:space="preserve">ТП = А/В*100%-100%</w:t>
            </w:r>
            <w:r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</w:r>
          </w:p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 xml:space="preserve">ТП - Темп прироста, %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 xml:space="preserve">A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= Сумма налоговых поступлений за текущий год, тыс.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руб.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</w:r>
          </w:p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 xml:space="preserve">B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= Сумма налоговых поступлений за предыдущий год, тыс.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руб.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92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финансам, налоговой и кредитной политике Администрации города Новоалтайска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27"/>
        </w:trPr>
        <w:tc>
          <w:tcPr>
            <w:tcBorders/>
            <w:tcW w:w="40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81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семинаров, «круглых столов», заседаний ОСП в течение 2021–2025 годов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414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Значение целевого индикатора не рассчитывается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92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Фактическое проведение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27"/>
        </w:trPr>
        <w:tc>
          <w:tcPr>
            <w:tcBorders/>
            <w:tcW w:w="40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81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ярмарочных дней в течении 2021-2025 годов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414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Сумма всех ярм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рочных дней текущего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92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Администрации города Новоалтайска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27"/>
        </w:trPr>
        <w:tc>
          <w:tcPr>
            <w:tcBorders/>
            <w:tcW w:w="40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812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Обеспеченность населения площадью торговых объектов на 1000 человек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414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Значение целевого индикатора не рассчитывается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292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по основным показателям, характеризующим дислокацию организаций розничной торговли и общепита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1 января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pStyle w:val="740"/>
        <w:pBdr/>
        <w:spacing/>
        <w:ind w:left="10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sz w:val="28"/>
          <w:szCs w:val="28"/>
        </w:rPr>
        <w:t xml:space="preserve">Общая характеристика мероприятий муниципальной Программы, сроков и этапов их реализации.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widowControl w:val="false"/>
        <w:pBdr/>
        <w:tabs>
          <w:tab w:val="left" w:leader="none" w:pos="709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Срок реализа</w:t>
      </w:r>
      <w:r>
        <w:rPr>
          <w:sz w:val="28"/>
          <w:szCs w:val="28"/>
        </w:rPr>
        <w:t xml:space="preserve">ции муниципальной Программы - 2021 – 2025</w:t>
      </w:r>
      <w:r>
        <w:rPr>
          <w:sz w:val="28"/>
          <w:szCs w:val="28"/>
        </w:rPr>
        <w:t xml:space="preserve"> годы. </w:t>
        <w:br/>
        <w:t xml:space="preserve">При выполнении мероприятий Программы деление на этапы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не предусмотрено.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tabs>
          <w:tab w:val="left" w:leader="none" w:pos="709"/>
        </w:tabs>
        <w:spacing w:after="0" w:afterAutospacing="0" w:before="0" w:beforeAutospacing="0"/>
        <w:ind/>
        <w:jc w:val="both"/>
        <w:rPr>
          <w:sz w:val="28"/>
          <w:szCs w:val="28"/>
        </w:rPr>
      </w:pPr>
      <w:r>
        <w:rPr>
          <w:rStyle w:val="979"/>
          <w:sz w:val="28"/>
          <w:szCs w:val="28"/>
        </w:rPr>
        <w:tab/>
      </w:r>
      <w:r>
        <w:rPr>
          <w:rStyle w:val="979"/>
          <w:b w:val="0"/>
          <w:sz w:val="28"/>
          <w:szCs w:val="28"/>
        </w:rPr>
        <w:t xml:space="preserve">Система программных мероприятий на 2021 – 2025 годы представляет собой действия, направленные на достижение ц</w:t>
      </w:r>
      <w:r>
        <w:rPr>
          <w:sz w:val="28"/>
          <w:szCs w:val="28"/>
        </w:rPr>
        <w:t xml:space="preserve">ели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t xml:space="preserve">созданию </w:t>
      </w:r>
      <w:r>
        <w:rPr>
          <w:sz w:val="28"/>
          <w:szCs w:val="28"/>
        </w:rPr>
        <w:t xml:space="preserve">благоприятных условий для </w:t>
      </w:r>
      <w:r>
        <w:rPr>
          <w:sz w:val="28"/>
          <w:szCs w:val="28"/>
        </w:rPr>
        <w:t xml:space="preserve">устойчивого функционирования и </w:t>
      </w:r>
      <w:r>
        <w:rPr>
          <w:sz w:val="28"/>
          <w:szCs w:val="28"/>
        </w:rPr>
        <w:t xml:space="preserve">развития малого и среднего предпринимательства </w:t>
      </w:r>
      <w:r>
        <w:rPr>
          <w:sz w:val="28"/>
          <w:szCs w:val="28"/>
        </w:rPr>
        <w:t xml:space="preserve">на территории города Новоалтайска</w:t>
      </w:r>
      <w:r>
        <w:rPr>
          <w:sz w:val="28"/>
          <w:szCs w:val="28"/>
        </w:rPr>
        <w:t xml:space="preserve">, ориентированные на финансовую, информационную и консультационную поддержку.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механизма</w:t>
      </w:r>
      <w:r>
        <w:rPr>
          <w:sz w:val="28"/>
          <w:szCs w:val="28"/>
        </w:rPr>
        <w:t xml:space="preserve"> финансо</w:t>
      </w:r>
      <w:r>
        <w:rPr>
          <w:sz w:val="28"/>
          <w:szCs w:val="28"/>
        </w:rPr>
        <w:t xml:space="preserve">вой поддержки СМСП предусмотрено с</w:t>
      </w:r>
      <w:r>
        <w:rPr>
          <w:sz w:val="28"/>
          <w:szCs w:val="28"/>
        </w:rPr>
        <w:t xml:space="preserve">убсидирование части затрат по социально значимым проектам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Данный вид</w:t>
      </w:r>
      <w:r>
        <w:rPr>
          <w:sz w:val="28"/>
          <w:szCs w:val="28"/>
        </w:rPr>
        <w:t xml:space="preserve"> финансовой поддержки, прежде всего,</w:t>
      </w:r>
      <w:r>
        <w:rPr>
          <w:sz w:val="28"/>
          <w:szCs w:val="28"/>
        </w:rPr>
        <w:t xml:space="preserve"> ориентирован </w:t>
        <w:br/>
        <w:t xml:space="preserve">на СМСП</w:t>
      </w:r>
      <w:r>
        <w:rPr>
          <w:sz w:val="28"/>
          <w:szCs w:val="28"/>
        </w:rPr>
        <w:t xml:space="preserve"> осуществляющих деятельность </w:t>
      </w:r>
      <w:r>
        <w:rPr>
          <w:sz w:val="28"/>
          <w:szCs w:val="28"/>
        </w:rPr>
        <w:t xml:space="preserve">социально значимые направления предпринимательской деятельности (</w:t>
      </w:r>
      <w:r>
        <w:rPr>
          <w:sz w:val="28"/>
          <w:szCs w:val="28"/>
        </w:rPr>
        <w:t xml:space="preserve">центры времяпровождения детей; дошкольные образовательные центры, в том числе спортивные и медицинские учреждения; </w:t>
      </w:r>
      <w:r>
        <w:rPr>
          <w:sz w:val="28"/>
          <w:szCs w:val="28"/>
        </w:rPr>
        <w:t xml:space="preserve">социальное предпринимательство и иные социально значимые проекты).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3"/>
        <w:widowControl w:val="false"/>
        <w:pBdr/>
        <w:tabs>
          <w:tab w:val="left" w:leader="none" w:pos="-3828"/>
        </w:tabs>
        <w:spacing/>
        <w:ind w:firstLine="709"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Дополнительно в Программе предусмотрены меры по </w:t>
      </w:r>
      <w:r>
        <w:rPr>
          <w:sz w:val="28"/>
          <w:szCs w:val="28"/>
        </w:rPr>
        <w:t xml:space="preserve">повышению</w:t>
      </w:r>
      <w:r>
        <w:rPr>
          <w:sz w:val="28"/>
          <w:szCs w:val="28"/>
        </w:rPr>
        <w:t xml:space="preserve"> конкурентоспособности, узнаваемости</w:t>
      </w:r>
      <w:r>
        <w:rPr>
          <w:sz w:val="28"/>
          <w:szCs w:val="28"/>
        </w:rPr>
        <w:t xml:space="preserve"> и продвижению н</w:t>
      </w:r>
      <w:r>
        <w:rPr>
          <w:sz w:val="28"/>
          <w:szCs w:val="28"/>
        </w:rPr>
        <w:t xml:space="preserve">овоалтайских</w:t>
      </w:r>
      <w:r>
        <w:rPr>
          <w:sz w:val="28"/>
          <w:szCs w:val="28"/>
        </w:rPr>
        <w:t xml:space="preserve"> СМСП</w:t>
      </w:r>
      <w:r>
        <w:rPr>
          <w:sz w:val="28"/>
          <w:szCs w:val="28"/>
        </w:rPr>
        <w:t xml:space="preserve">, в том числе популяризация предпринимательской деятельности.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анный комплекс мероприятий направлен на проведение выставки-продажи товаропроизводителей, иных тематических мини-выставок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и гастрономических фестивалей, </w:t>
      </w:r>
      <w:r>
        <w:rPr>
          <w:sz w:val="28"/>
          <w:szCs w:val="28"/>
        </w:rPr>
        <w:t xml:space="preserve">что повысит узнаваемость новоалтайских СМСП.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Дополнительно предусмотрено проведение конференций, форумов, семинаров и</w:t>
      </w:r>
      <w:r>
        <w:rPr>
          <w:sz w:val="28"/>
          <w:szCs w:val="28"/>
        </w:rPr>
        <w:t xml:space="preserve"> тренингов,</w:t>
      </w:r>
      <w:r>
        <w:rPr>
          <w:sz w:val="28"/>
          <w:szCs w:val="28"/>
        </w:rPr>
        <w:t xml:space="preserve"> и мероприятий, направленных на популяризацию предпринимательской деятельности.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3"/>
        <w:widowControl w:val="false"/>
        <w:pBdr/>
        <w:tabs>
          <w:tab w:val="left" w:leader="none" w:pos="567"/>
          <w:tab w:val="left" w:leader="none" w:pos="1080"/>
        </w:tabs>
        <w:spacing/>
        <w:ind w:firstLine="709"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повышения социально–экономической активности СМСП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и населения города, </w:t>
      </w:r>
      <w:r>
        <w:rPr>
          <w:sz w:val="28"/>
          <w:szCs w:val="28"/>
        </w:rPr>
        <w:t xml:space="preserve">предусмотрены мероприятия для создания</w:t>
      </w:r>
      <w:r>
        <w:rPr>
          <w:sz w:val="28"/>
          <w:szCs w:val="28"/>
        </w:rPr>
        <w:t xml:space="preserve"> условий </w:t>
      </w:r>
      <w:r>
        <w:rPr>
          <w:sz w:val="28"/>
          <w:szCs w:val="28"/>
        </w:rPr>
        <w:br/>
        <w:t xml:space="preserve">по </w:t>
      </w:r>
      <w:r>
        <w:rPr>
          <w:sz w:val="28"/>
          <w:szCs w:val="28"/>
        </w:rPr>
        <w:t xml:space="preserve">реализации излишков </w:t>
      </w:r>
      <w:r>
        <w:rPr>
          <w:sz w:val="28"/>
          <w:szCs w:val="28"/>
        </w:rPr>
        <w:t xml:space="preserve">сельскохозяйственной продукции</w:t>
      </w:r>
      <w:r>
        <w:rPr>
          <w:sz w:val="28"/>
          <w:szCs w:val="28"/>
        </w:rPr>
        <w:t xml:space="preserve">, в том числе п</w:t>
      </w:r>
      <w:r>
        <w:rPr>
          <w:sz w:val="28"/>
          <w:szCs w:val="28"/>
        </w:rPr>
        <w:t xml:space="preserve">роведение городских ярмарочных </w:t>
      </w:r>
      <w:r>
        <w:rPr>
          <w:sz w:val="28"/>
          <w:szCs w:val="28"/>
        </w:rPr>
        <w:t xml:space="preserve">мероприятий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widowControl w:val="false"/>
        <w:pBdr/>
        <w:tabs>
          <w:tab w:val="left" w:leader="none" w:pos="567"/>
          <w:tab w:val="left" w:leader="none" w:pos="1080"/>
        </w:tabs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Перечень программных мероприятий Программы приведен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в Приложении 2.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widowControl w:val="false"/>
        <w:pBdr/>
        <w:tabs>
          <w:tab w:val="left" w:leader="none" w:pos="1080"/>
        </w:tabs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 Общий объем финансовых ресурсов, необходимых для реализации муниципальной Программы.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445"/>
        <w:rPr>
          <w:color w:val="000000" w:themeColor="text1"/>
          <w:sz w:val="28"/>
          <w:szCs w:val="28"/>
          <w:u w:val="none"/>
        </w:rPr>
      </w:pPr>
      <w:r>
        <w:rPr>
          <w:sz w:val="28"/>
          <w:szCs w:val="28"/>
        </w:rPr>
        <w:t xml:space="preserve">Общий </w:t>
      </w:r>
      <w:r>
        <w:rPr>
          <w:color w:val="000000" w:themeColor="text1"/>
          <w:sz w:val="28"/>
          <w:szCs w:val="28"/>
          <w:u w:val="none"/>
        </w:rPr>
        <w:t xml:space="preserve">объем финан</w:t>
      </w:r>
      <w:r>
        <w:rPr>
          <w:color w:val="000000" w:themeColor="text1"/>
          <w:sz w:val="28"/>
          <w:szCs w:val="28"/>
          <w:u w:val="none"/>
        </w:rPr>
        <w:t xml:space="preserve">сирования Программы составляет </w:t>
      </w:r>
      <w:r>
        <w:rPr>
          <w:color w:val="000000" w:themeColor="text1"/>
          <w:sz w:val="28"/>
          <w:szCs w:val="28"/>
          <w:u w:val="none"/>
        </w:rPr>
        <w:t xml:space="preserve">8</w:t>
      </w:r>
      <w:r>
        <w:rPr>
          <w:color w:val="000000" w:themeColor="text1"/>
          <w:sz w:val="28"/>
          <w:szCs w:val="28"/>
          <w:u w:val="none"/>
        </w:rPr>
        <w:t xml:space="preserve">3</w:t>
      </w:r>
      <w:r>
        <w:rPr>
          <w:color w:val="000000" w:themeColor="text1"/>
          <w:sz w:val="28"/>
          <w:szCs w:val="28"/>
          <w:u w:val="none"/>
        </w:rPr>
        <w:t xml:space="preserve">7,</w:t>
      </w:r>
      <w:r>
        <w:rPr>
          <w:color w:val="000000" w:themeColor="text1"/>
          <w:sz w:val="28"/>
          <w:szCs w:val="28"/>
          <w:u w:val="none"/>
        </w:rPr>
        <w:t xml:space="preserve">1 </w:t>
      </w:r>
      <w:r>
        <w:rPr>
          <w:color w:val="000000" w:themeColor="text1"/>
          <w:sz w:val="28"/>
          <w:szCs w:val="28"/>
          <w:u w:val="none"/>
        </w:rPr>
        <w:t xml:space="preserve">тыс. рублей:</w:t>
      </w:r>
      <w:r>
        <w:rPr>
          <w:color w:val="000000" w:themeColor="text1"/>
          <w:sz w:val="28"/>
          <w:szCs w:val="28"/>
          <w:u w:val="none"/>
        </w:rPr>
        <w:t xml:space="preserve"> </w:t>
      </w:r>
      <w:r>
        <w:rPr>
          <w:color w:val="000000" w:themeColor="text1"/>
          <w:sz w:val="28"/>
          <w:szCs w:val="28"/>
          <w:u w:val="none"/>
        </w:rPr>
        <w:t xml:space="preserve">Финансирование по годам: </w:t>
      </w:r>
      <w:r>
        <w:rPr>
          <w:color w:val="000000" w:themeColor="text1"/>
          <w:sz w:val="28"/>
          <w:szCs w:val="28"/>
          <w:u w:val="none"/>
        </w:rPr>
      </w:r>
      <w:r>
        <w:rPr>
          <w:color w:val="000000" w:themeColor="text1"/>
          <w:sz w:val="28"/>
          <w:szCs w:val="28"/>
          <w:u w:val="none"/>
        </w:rPr>
      </w:r>
    </w:p>
    <w:p>
      <w:pPr>
        <w:pStyle w:val="740"/>
        <w:pBdr/>
        <w:spacing/>
        <w:ind/>
        <w:rPr>
          <w:b/>
          <w:color w:val="000000" w:themeColor="text1"/>
          <w:sz w:val="28"/>
          <w:szCs w:val="28"/>
          <w:u w:val="none"/>
        </w:rPr>
      </w:pPr>
      <w:r>
        <w:rPr>
          <w:b/>
          <w:color w:val="000000" w:themeColor="text1"/>
          <w:sz w:val="28"/>
          <w:szCs w:val="28"/>
          <w:u w:val="none"/>
        </w:rPr>
        <w:t xml:space="preserve">2021 год</w:t>
      </w:r>
      <w:r>
        <w:rPr>
          <w:b/>
          <w:color w:val="000000" w:themeColor="text1"/>
          <w:sz w:val="28"/>
          <w:szCs w:val="28"/>
          <w:u w:val="none"/>
        </w:rPr>
      </w:r>
      <w:r>
        <w:rPr>
          <w:b/>
          <w:color w:val="000000" w:themeColor="text1"/>
          <w:sz w:val="28"/>
          <w:szCs w:val="28"/>
          <w:u w:val="none"/>
        </w:rPr>
      </w:r>
    </w:p>
    <w:p>
      <w:pPr>
        <w:pStyle w:val="740"/>
        <w:pBdr/>
        <w:spacing/>
        <w:ind/>
        <w:rPr>
          <w:color w:val="000000" w:themeColor="text1"/>
          <w:sz w:val="28"/>
          <w:szCs w:val="28"/>
          <w:u w:val="none"/>
        </w:rPr>
      </w:pPr>
      <w:r>
        <w:rPr>
          <w:color w:val="000000" w:themeColor="text1"/>
          <w:sz w:val="28"/>
          <w:szCs w:val="28"/>
          <w:u w:val="none"/>
        </w:rPr>
        <w:t xml:space="preserve">- </w:t>
      </w:r>
      <w:r>
        <w:rPr>
          <w:color w:val="000000" w:themeColor="text1"/>
          <w:sz w:val="28"/>
          <w:szCs w:val="28"/>
          <w:u w:val="none"/>
        </w:rPr>
        <w:t xml:space="preserve">128,2</w:t>
      </w:r>
      <w:r>
        <w:rPr>
          <w:color w:val="000000" w:themeColor="text1"/>
          <w:sz w:val="28"/>
          <w:szCs w:val="28"/>
          <w:u w:val="none"/>
        </w:rPr>
        <w:t xml:space="preserve"> тыс. рублей –  средства бюджета городского округа</w:t>
      </w:r>
      <w:r>
        <w:rPr>
          <w:color w:val="000000" w:themeColor="text1"/>
          <w:sz w:val="28"/>
          <w:szCs w:val="28"/>
          <w:u w:val="none"/>
        </w:rPr>
      </w:r>
      <w:r>
        <w:rPr>
          <w:color w:val="000000" w:themeColor="text1"/>
          <w:sz w:val="28"/>
          <w:szCs w:val="28"/>
          <w:u w:val="none"/>
        </w:rPr>
      </w:r>
    </w:p>
    <w:p>
      <w:pPr>
        <w:pStyle w:val="740"/>
        <w:pBdr/>
        <w:spacing/>
        <w:ind/>
        <w:rPr>
          <w:b/>
          <w:color w:val="000000" w:themeColor="text1"/>
          <w:sz w:val="28"/>
          <w:szCs w:val="28"/>
          <w:u w:val="none"/>
        </w:rPr>
      </w:pPr>
      <w:r>
        <w:rPr>
          <w:b/>
          <w:color w:val="000000" w:themeColor="text1"/>
          <w:sz w:val="28"/>
          <w:szCs w:val="28"/>
          <w:u w:val="none"/>
        </w:rPr>
        <w:t xml:space="preserve">2022 год</w:t>
      </w:r>
      <w:r>
        <w:rPr>
          <w:b/>
          <w:color w:val="000000" w:themeColor="text1"/>
          <w:sz w:val="28"/>
          <w:szCs w:val="28"/>
          <w:u w:val="none"/>
        </w:rPr>
      </w:r>
      <w:r>
        <w:rPr>
          <w:b/>
          <w:color w:val="000000" w:themeColor="text1"/>
          <w:sz w:val="28"/>
          <w:szCs w:val="28"/>
          <w:u w:val="none"/>
        </w:rPr>
      </w:r>
    </w:p>
    <w:p>
      <w:pPr>
        <w:pStyle w:val="740"/>
        <w:pBdr/>
        <w:spacing/>
        <w:ind/>
        <w:rPr>
          <w:color w:val="000000" w:themeColor="text1"/>
          <w:sz w:val="28"/>
          <w:szCs w:val="28"/>
          <w:u w:val="none"/>
        </w:rPr>
      </w:pPr>
      <w:r>
        <w:rPr>
          <w:color w:val="000000" w:themeColor="text1"/>
          <w:sz w:val="28"/>
          <w:szCs w:val="28"/>
          <w:u w:val="none"/>
        </w:rPr>
        <w:t xml:space="preserve">- </w:t>
      </w:r>
      <w:r>
        <w:rPr>
          <w:color w:val="000000" w:themeColor="text1"/>
          <w:sz w:val="28"/>
          <w:szCs w:val="28"/>
          <w:u w:val="none"/>
        </w:rPr>
        <w:t xml:space="preserve">1</w:t>
      </w:r>
      <w:r>
        <w:rPr>
          <w:color w:val="000000" w:themeColor="text1"/>
          <w:sz w:val="28"/>
          <w:szCs w:val="28"/>
          <w:u w:val="none"/>
        </w:rPr>
        <w:t xml:space="preserve">71</w:t>
      </w:r>
      <w:r>
        <w:rPr>
          <w:color w:val="000000" w:themeColor="text1"/>
          <w:sz w:val="28"/>
          <w:szCs w:val="28"/>
          <w:u w:val="none"/>
        </w:rPr>
        <w:t xml:space="preserve">,</w:t>
      </w:r>
      <w:r>
        <w:rPr>
          <w:color w:val="000000" w:themeColor="text1"/>
          <w:sz w:val="28"/>
          <w:szCs w:val="28"/>
          <w:u w:val="none"/>
        </w:rPr>
        <w:t xml:space="preserve">1</w:t>
      </w:r>
      <w:r>
        <w:rPr>
          <w:color w:val="000000" w:themeColor="text1"/>
          <w:sz w:val="28"/>
          <w:szCs w:val="28"/>
          <w:u w:val="none"/>
        </w:rPr>
        <w:t xml:space="preserve"> тыс. рублей – средства бюджета городского округа</w:t>
      </w:r>
      <w:r>
        <w:rPr>
          <w:color w:val="000000" w:themeColor="text1"/>
          <w:sz w:val="28"/>
          <w:szCs w:val="28"/>
          <w:u w:val="none"/>
        </w:rPr>
      </w:r>
      <w:r>
        <w:rPr>
          <w:color w:val="000000" w:themeColor="text1"/>
          <w:sz w:val="28"/>
          <w:szCs w:val="28"/>
          <w:u w:val="none"/>
        </w:rPr>
      </w:r>
    </w:p>
    <w:p>
      <w:pPr>
        <w:pStyle w:val="740"/>
        <w:pBdr/>
        <w:spacing/>
        <w:ind/>
        <w:rPr>
          <w:b/>
          <w:color w:val="000000" w:themeColor="text1"/>
          <w:sz w:val="28"/>
          <w:szCs w:val="28"/>
          <w:u w:val="none"/>
        </w:rPr>
      </w:pPr>
      <w:r>
        <w:rPr>
          <w:b/>
          <w:color w:val="000000" w:themeColor="text1"/>
          <w:sz w:val="28"/>
          <w:szCs w:val="28"/>
          <w:u w:val="none"/>
        </w:rPr>
        <w:t xml:space="preserve">2023 год</w:t>
      </w:r>
      <w:r>
        <w:rPr>
          <w:b/>
          <w:color w:val="000000" w:themeColor="text1"/>
          <w:sz w:val="28"/>
          <w:szCs w:val="28"/>
          <w:u w:val="none"/>
        </w:rPr>
      </w:r>
      <w:r>
        <w:rPr>
          <w:b/>
          <w:color w:val="000000" w:themeColor="text1"/>
          <w:sz w:val="28"/>
          <w:szCs w:val="28"/>
          <w:u w:val="none"/>
        </w:rPr>
      </w:r>
    </w:p>
    <w:p>
      <w:pPr>
        <w:pStyle w:val="740"/>
        <w:pBdr/>
        <w:spacing/>
        <w:ind/>
        <w:rPr>
          <w:color w:val="000000" w:themeColor="text1"/>
          <w:sz w:val="28"/>
          <w:szCs w:val="28"/>
          <w:u w:val="none"/>
        </w:rPr>
      </w:pPr>
      <w:r>
        <w:rPr>
          <w:color w:val="000000" w:themeColor="text1"/>
          <w:sz w:val="28"/>
          <w:szCs w:val="28"/>
          <w:u w:val="none"/>
        </w:rPr>
        <w:t xml:space="preserve">- </w:t>
      </w:r>
      <w:r>
        <w:rPr>
          <w:color w:val="000000" w:themeColor="text1"/>
          <w:sz w:val="28"/>
          <w:szCs w:val="28"/>
          <w:u w:val="none"/>
        </w:rPr>
        <w:t xml:space="preserve">177</w:t>
      </w:r>
      <w:r>
        <w:rPr>
          <w:color w:val="000000" w:themeColor="text1"/>
          <w:sz w:val="28"/>
          <w:szCs w:val="28"/>
          <w:u w:val="none"/>
        </w:rPr>
        <w:t xml:space="preserve">,8</w:t>
      </w:r>
      <w:r>
        <w:rPr>
          <w:color w:val="000000" w:themeColor="text1"/>
          <w:sz w:val="28"/>
          <w:szCs w:val="28"/>
          <w:u w:val="none"/>
        </w:rPr>
        <w:t xml:space="preserve"> тыс. рублей – средства бюджета городского округа</w:t>
      </w:r>
      <w:r>
        <w:rPr>
          <w:color w:val="000000" w:themeColor="text1"/>
          <w:sz w:val="28"/>
          <w:szCs w:val="28"/>
          <w:u w:val="none"/>
        </w:rPr>
      </w:r>
      <w:r>
        <w:rPr>
          <w:color w:val="000000" w:themeColor="text1"/>
          <w:sz w:val="28"/>
          <w:szCs w:val="28"/>
          <w:u w:val="none"/>
        </w:rPr>
      </w:r>
    </w:p>
    <w:p>
      <w:pPr>
        <w:pStyle w:val="740"/>
        <w:pBdr/>
        <w:spacing/>
        <w:ind/>
        <w:rPr>
          <w:b/>
          <w:color w:val="000000" w:themeColor="text1"/>
          <w:sz w:val="28"/>
          <w:szCs w:val="28"/>
          <w:u w:val="none"/>
        </w:rPr>
      </w:pPr>
      <w:r>
        <w:rPr>
          <w:b/>
          <w:color w:val="000000" w:themeColor="text1"/>
          <w:sz w:val="28"/>
          <w:szCs w:val="28"/>
          <w:u w:val="none"/>
        </w:rPr>
        <w:t xml:space="preserve">2024 год</w:t>
      </w:r>
      <w:r>
        <w:rPr>
          <w:b/>
          <w:color w:val="000000" w:themeColor="text1"/>
          <w:sz w:val="28"/>
          <w:szCs w:val="28"/>
          <w:u w:val="none"/>
        </w:rPr>
      </w:r>
      <w:r>
        <w:rPr>
          <w:b/>
          <w:color w:val="000000" w:themeColor="text1"/>
          <w:sz w:val="28"/>
          <w:szCs w:val="28"/>
          <w:u w:val="none"/>
        </w:rPr>
      </w:r>
    </w:p>
    <w:p>
      <w:pPr>
        <w:pStyle w:val="740"/>
        <w:pBdr/>
        <w:spacing/>
        <w:ind/>
        <w:rPr>
          <w:color w:val="000000" w:themeColor="text1"/>
          <w:sz w:val="28"/>
          <w:szCs w:val="28"/>
          <w:u w:val="none"/>
        </w:rPr>
      </w:pPr>
      <w:r>
        <w:rPr>
          <w:color w:val="000000" w:themeColor="text1"/>
          <w:sz w:val="28"/>
          <w:szCs w:val="28"/>
          <w:u w:val="none"/>
        </w:rPr>
        <w:t xml:space="preserve">- </w:t>
      </w:r>
      <w:r>
        <w:rPr>
          <w:color w:val="000000" w:themeColor="text1"/>
          <w:sz w:val="28"/>
          <w:szCs w:val="28"/>
          <w:u w:val="none"/>
        </w:rPr>
        <w:t xml:space="preserve">18</w:t>
      </w:r>
      <w:r>
        <w:rPr>
          <w:color w:val="000000" w:themeColor="text1"/>
          <w:sz w:val="28"/>
          <w:szCs w:val="28"/>
          <w:u w:val="none"/>
        </w:rPr>
        <w:t xml:space="preserve">0,0</w:t>
      </w:r>
      <w:r>
        <w:rPr>
          <w:color w:val="000000" w:themeColor="text1"/>
          <w:sz w:val="28"/>
          <w:szCs w:val="28"/>
          <w:u w:val="none"/>
        </w:rPr>
        <w:t xml:space="preserve"> тыс. рублей – средства бюджета городского округа</w:t>
      </w:r>
      <w:r>
        <w:rPr>
          <w:color w:val="000000" w:themeColor="text1"/>
          <w:sz w:val="28"/>
          <w:szCs w:val="28"/>
          <w:u w:val="none"/>
        </w:rPr>
      </w:r>
      <w:r>
        <w:rPr>
          <w:color w:val="000000" w:themeColor="text1"/>
          <w:sz w:val="28"/>
          <w:szCs w:val="28"/>
          <w:u w:val="none"/>
        </w:rPr>
      </w:r>
    </w:p>
    <w:p>
      <w:pPr>
        <w:pStyle w:val="740"/>
        <w:pBdr/>
        <w:spacing/>
        <w:ind/>
        <w:rPr>
          <w:b/>
          <w:color w:val="000000" w:themeColor="text1"/>
          <w:sz w:val="28"/>
          <w:szCs w:val="28"/>
          <w:u w:val="none"/>
        </w:rPr>
      </w:pPr>
      <w:r>
        <w:rPr>
          <w:b/>
          <w:color w:val="000000" w:themeColor="text1"/>
          <w:sz w:val="28"/>
          <w:szCs w:val="28"/>
          <w:u w:val="none"/>
        </w:rPr>
        <w:t xml:space="preserve">2025 год</w:t>
      </w:r>
      <w:r>
        <w:rPr>
          <w:b/>
          <w:color w:val="000000" w:themeColor="text1"/>
          <w:sz w:val="28"/>
          <w:szCs w:val="28"/>
          <w:u w:val="none"/>
        </w:rPr>
      </w:r>
      <w:r>
        <w:rPr>
          <w:b/>
          <w:color w:val="000000" w:themeColor="text1"/>
          <w:sz w:val="28"/>
          <w:szCs w:val="28"/>
          <w:u w:val="none"/>
        </w:rPr>
      </w:r>
    </w:p>
    <w:p>
      <w:pPr>
        <w:pStyle w:val="740"/>
        <w:pBdr/>
        <w:spacing/>
        <w:ind/>
        <w:rPr>
          <w:sz w:val="28"/>
          <w:szCs w:val="28"/>
        </w:rPr>
      </w:pPr>
      <w:r>
        <w:rPr>
          <w:color w:val="000000" w:themeColor="text1"/>
          <w:sz w:val="28"/>
          <w:szCs w:val="28"/>
          <w:u w:val="none"/>
        </w:rPr>
        <w:t xml:space="preserve">- </w:t>
      </w:r>
      <w:r>
        <w:rPr>
          <w:color w:val="000000" w:themeColor="text1"/>
          <w:sz w:val="28"/>
          <w:szCs w:val="28"/>
          <w:u w:val="none"/>
        </w:rPr>
        <w:t xml:space="preserve">1</w:t>
      </w:r>
      <w:r>
        <w:rPr>
          <w:color w:val="000000" w:themeColor="text1"/>
          <w:sz w:val="28"/>
          <w:szCs w:val="28"/>
          <w:u w:val="none"/>
        </w:rPr>
        <w:t xml:space="preserve">8</w:t>
      </w:r>
      <w:r>
        <w:rPr>
          <w:color w:val="000000" w:themeColor="text1"/>
          <w:sz w:val="28"/>
          <w:szCs w:val="28"/>
          <w:u w:val="none"/>
        </w:rPr>
        <w:t xml:space="preserve">0,0</w:t>
      </w:r>
      <w:r>
        <w:rPr>
          <w:color w:val="000000" w:themeColor="text1"/>
          <w:sz w:val="28"/>
          <w:szCs w:val="28"/>
          <w:u w:val="none"/>
        </w:rPr>
        <w:t xml:space="preserve"> тыс. рубл</w:t>
      </w:r>
      <w:r>
        <w:rPr>
          <w:sz w:val="28"/>
          <w:szCs w:val="28"/>
        </w:rPr>
        <w:t xml:space="preserve">ей – средства бюджета городского округа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44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Объемы финансирования мероприятий Программы уточняются при разработке и утверждении бюджета города на соответствующий финансовый год и плановый период.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Объемы финансирования могут быть увеличены за счет привлечения субсидий федерального и краевого бюджетов, выделяемых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на финансирование муниципальных Программ развития малого и среднего предпринимательства, в случае принятия соответствующих документов.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Привлеченные средства могут быть направлены на развитие предпринимательства </w:t>
      </w:r>
      <w:r>
        <w:rPr>
          <w:sz w:val="28"/>
          <w:szCs w:val="28"/>
        </w:rPr>
        <w:t xml:space="preserve">на территории города Новоалтайска </w:t>
      </w:r>
      <w:r>
        <w:rPr>
          <w:sz w:val="28"/>
          <w:szCs w:val="28"/>
        </w:rPr>
        <w:t xml:space="preserve">по следующим направлениям: развитие потребительского рынка, обрабатывающие производства, строительство, здравоохранение и предоставление социальных услуг</w:t>
      </w:r>
      <w:r>
        <w:rPr>
          <w:sz w:val="28"/>
          <w:szCs w:val="28"/>
        </w:rPr>
        <w:t xml:space="preserve"> (в том числе социальное предпринимательство)</w:t>
      </w:r>
      <w:r>
        <w:rPr>
          <w:sz w:val="28"/>
          <w:szCs w:val="28"/>
        </w:rPr>
        <w:t xml:space="preserve">, деятельность в области культуры, спорта, досуга и развлечений.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Общий объем финансовых ресурсов, необходимых для реализации муниципальной Программы приведен в Приложении 3.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6</w:t>
      </w:r>
      <w:r>
        <w:rPr>
          <w:sz w:val="28"/>
          <w:szCs w:val="28"/>
        </w:rPr>
        <w:t xml:space="preserve">. Анализ рисков реализации муниципальной Программы и описание мер управления рисками реализации муниципальной Программы.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tabs>
          <w:tab w:val="left" w:leader="none" w:pos="709"/>
        </w:tabs>
        <w:spacing w:after="0" w:afterAutospacing="0" w:before="0" w:beforeAutospacing="0"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На результативность реализации Программы оказывают влияние следующие группы рисков: изменения в федеральном и краевом законодательстве, фискальная политика, макроэко</w:t>
      </w:r>
      <w:r>
        <w:rPr>
          <w:sz w:val="28"/>
          <w:szCs w:val="28"/>
        </w:rPr>
        <w:t xml:space="preserve">номические факторы, социально–</w:t>
      </w:r>
      <w:r>
        <w:rPr>
          <w:sz w:val="28"/>
          <w:szCs w:val="28"/>
        </w:rPr>
        <w:t xml:space="preserve">демографическое развитие города, недостаточная заинтересованность СМСП к мероприятиям Программы.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tabs>
          <w:tab w:val="left" w:leader="none" w:pos="709"/>
        </w:tabs>
        <w:spacing w:after="0" w:afterAutospacing="0" w:before="0" w:beforeAutospacing="0"/>
        <w: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Для минимизации рисков реализации Программы необходимо </w:t>
      </w:r>
      <w:r>
        <w:rPr>
          <w:sz w:val="28"/>
          <w:szCs w:val="28"/>
        </w:rPr>
        <w:t xml:space="preserve">принять ряд мер: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проведение регулярного мониторинга изменений федерального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и краевого законодательства, внесение соответствующих изменений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в муниципальные правовые акты;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привлечение средств федерального и краевого бюджетов;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консультационно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информационная поддержка;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проведение ежеквартального мониторинга эффективности реализации мероприятий Программы;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пропаганда предпринимательской деятельности среди населения </w:t>
      </w:r>
      <w:r>
        <w:rPr>
          <w:sz w:val="28"/>
          <w:szCs w:val="28"/>
        </w:rPr>
        <w:br/>
        <w:t xml:space="preserve">и молодежи, подключение предпринимательских сообществ к реализации мероприятий Программы.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8"/>
        <w:pBdr/>
        <w:spacing w:after="0" w:afterAutospacing="0" w:before="0" w:beforeAutospacing="0"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7</w:t>
      </w:r>
      <w:r>
        <w:rPr>
          <w:sz w:val="28"/>
          <w:szCs w:val="28"/>
        </w:rPr>
        <w:t xml:space="preserve">. Механизм реализации муниципальной Программы.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Текущее управление и контроль за реализацией муниципальной </w:t>
      </w:r>
      <w:r>
        <w:rPr>
          <w:sz w:val="28"/>
          <w:szCs w:val="28"/>
        </w:rPr>
        <w:t xml:space="preserve">программы осущест</w:t>
      </w:r>
      <w:r>
        <w:rPr>
          <w:sz w:val="28"/>
          <w:szCs w:val="28"/>
        </w:rPr>
        <w:t xml:space="preserve">вляют ответственный исполнитель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управления и контроля реализации муниципальной программы осуществляется: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текущий мониторинг реализации муниципальной программы </w:t>
        <w:br/>
        <w:t xml:space="preserve">на постоянной основе в течение всего срока реализации муниципальной программы (далее – мониторинг);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подготовка годового отчета о ходе реализации и оценке эффективности муниципальной программы (далее – годовой отчет);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widowControl w:val="false"/>
        <w:pBdr/>
        <w:spacing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Мониторинг реализации муниципальной программы осуществляется ответственным исполнителем ежеквартально.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rFonts w:cs="Arial"/>
          <w:sz w:val="28"/>
        </w:rPr>
      </w:pPr>
      <w:r>
        <w:rPr>
          <w:color w:val="000000" w:themeColor="text1"/>
          <w:sz w:val="28"/>
          <w:szCs w:val="28"/>
        </w:rPr>
        <w:t xml:space="preserve">Ответственный исполнитель муниципальной программы ежеквартально</w:t>
      </w:r>
      <w:r>
        <w:rPr>
          <w:rFonts w:cs="Arial"/>
          <w:color w:val="000000" w:themeColor="text1"/>
          <w:sz w:val="28"/>
        </w:rPr>
        <w:t xml:space="preserve"> до 20 числа месяца, следующего за отчетным кварталом, предоставляет </w:t>
      </w:r>
      <w:r>
        <w:rPr>
          <w:rFonts w:cs="Arial"/>
          <w:color w:val="000000" w:themeColor="text1"/>
          <w:sz w:val="28"/>
        </w:rPr>
        <w:t xml:space="preserve">результаты</w:t>
      </w:r>
      <w:r>
        <w:rPr>
          <w:rFonts w:cs="Arial"/>
          <w:color w:val="000000" w:themeColor="text1"/>
          <w:sz w:val="28"/>
        </w:rPr>
        <w:t xml:space="preserve"> мониторинга муниципальной пр</w:t>
      </w:r>
      <w:r>
        <w:rPr>
          <w:rFonts w:cs="Arial"/>
          <w:sz w:val="28"/>
        </w:rPr>
        <w:t xml:space="preserve">ограммы в комитет </w:t>
      </w:r>
      <w:r>
        <w:rPr>
          <w:rFonts w:cs="Arial"/>
          <w:sz w:val="28"/>
        </w:rPr>
        <w:br/>
      </w:r>
      <w:r>
        <w:rPr>
          <w:rFonts w:cs="Arial"/>
          <w:sz w:val="28"/>
        </w:rPr>
        <w:t xml:space="preserve">по экономической политике и инвестициям Администрации города и комитет по финансам, налоговой и кредитной политике Администрации города.</w:t>
      </w:r>
      <w:r>
        <w:rPr>
          <w:rFonts w:cs="Arial"/>
          <w:sz w:val="28"/>
        </w:rPr>
      </w:r>
      <w:r>
        <w:rPr>
          <w:rFonts w:cs="Arial"/>
          <w:sz w:val="28"/>
        </w:rPr>
      </w:r>
    </w:p>
    <w:p>
      <w:pPr>
        <w:pStyle w:val="740"/>
        <w:pBdr/>
        <w:spacing/>
        <w:ind w:firstLine="709"/>
        <w:jc w:val="both"/>
        <w:rPr>
          <w:rFonts w:cs="Arial"/>
          <w:sz w:val="28"/>
        </w:rPr>
      </w:pPr>
      <w:r>
        <w:rPr>
          <w:sz w:val="28"/>
          <w:szCs w:val="28"/>
        </w:rPr>
        <w:t xml:space="preserve">Годовой отчет подготавливается ответственным исполнителем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до 15 февраля года, следующего за</w:t>
      </w:r>
      <w:r>
        <w:rPr>
          <w:sz w:val="28"/>
          <w:szCs w:val="28"/>
        </w:rPr>
        <w:t xml:space="preserve"> отчетным, и</w:t>
      </w:r>
      <w:r>
        <w:rPr>
          <w:sz w:val="28"/>
          <w:szCs w:val="28"/>
        </w:rPr>
        <w:t xml:space="preserve"> направляется в </w:t>
      </w:r>
      <w:r>
        <w:rPr>
          <w:rFonts w:cs="Arial"/>
          <w:sz w:val="28"/>
        </w:rPr>
        <w:t xml:space="preserve">комитет </w:t>
      </w:r>
      <w:r>
        <w:rPr>
          <w:rFonts w:cs="Arial"/>
          <w:sz w:val="28"/>
        </w:rPr>
        <w:br/>
      </w:r>
      <w:r>
        <w:rPr>
          <w:rFonts w:cs="Arial"/>
          <w:sz w:val="28"/>
        </w:rPr>
        <w:t xml:space="preserve">по экономической политике и инвестициям Администрации города и комитет по финансам, налоговой и кредитной политике Администрации города.</w:t>
      </w:r>
      <w:r>
        <w:rPr>
          <w:rFonts w:cs="Arial"/>
          <w:sz w:val="28"/>
        </w:rPr>
      </w:r>
      <w:r>
        <w:rPr>
          <w:rFonts w:cs="Arial"/>
          <w:sz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Ответственный исполнитель: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обеспечивает разработку муниципальной программы </w:t>
      </w:r>
      <w:r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направляет </w:t>
        <w:br/>
        <w:t xml:space="preserve">на </w:t>
      </w:r>
      <w:r>
        <w:rPr>
          <w:sz w:val="28"/>
          <w:szCs w:val="28"/>
        </w:rPr>
        <w:t xml:space="preserve">утверждение в установленном порядке;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формирует структуру муниципальной программы, а также перечень участников муниципальной программы;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осу</w:t>
      </w:r>
      <w:r>
        <w:rPr>
          <w:sz w:val="28"/>
          <w:szCs w:val="28"/>
        </w:rPr>
        <w:t xml:space="preserve">ществляет реализацию муниципальной программы, принимает решение о внесении изменений в муниципальную программу и несет ответственность за достижение индикаторов муниципальной программы (показателей подпрограммы), а также конечных результатов ее реализации;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предоставляет в комитет по экономической политике и инвестициям Администрации города и </w:t>
      </w:r>
      <w:r>
        <w:rPr>
          <w:rFonts w:cs="Arial"/>
          <w:sz w:val="28"/>
        </w:rPr>
        <w:t xml:space="preserve">комитет по финансам, налоговой и кредитной политике</w:t>
      </w:r>
      <w:r>
        <w:rPr>
          <w:sz w:val="28"/>
          <w:szCs w:val="28"/>
        </w:rPr>
        <w:t xml:space="preserve"> Администрации города сведения, необходимые для проведения мониторинга реализации муниципальной программы;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проводит оценку эффективности муниципальной программы </w:t>
        <w:br/>
        <w:t xml:space="preserve">в соответствии с </w:t>
      </w:r>
      <w:r>
        <w:fldChar w:fldCharType="begin"/>
      </w:r>
      <w:r>
        <w:instrText xml:space="preserve"> HYPERLINK \l "Par661" </w:instrText>
      </w:r>
      <w:r>
        <w:fldChar w:fldCharType="separate"/>
      </w:r>
      <w:r>
        <w:rPr>
          <w:sz w:val="28"/>
          <w:szCs w:val="28"/>
        </w:rPr>
        <w:t xml:space="preserve">Методикой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оценки эффективности муниципальной программы;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несет ответственность за своевременность и полноту предоставления ежеквартальных отчетов по муниципальной программе.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rPr/>
      </w:pPr>
      <w:r/>
      <w:r/>
    </w:p>
    <w:p>
      <w:pPr>
        <w:pStyle w:val="740"/>
        <w:pBdr/>
        <w:spacing/>
        <w:ind/>
        <w:jc w:val="center"/>
        <w:rPr>
          <w:sz w:val="28"/>
          <w:szCs w:val="28"/>
        </w:rPr>
        <w:sectPr>
          <w:footnotePr/>
          <w:endnotePr/>
          <w:type w:val="nextPage"/>
          <w:pgSz w:h="16838" w:orient="portrait" w:w="11906"/>
          <w:pgMar w:top="851" w:right="707" w:bottom="709" w:left="1701" w:header="709" w:footer="709" w:gutter="0"/>
          <w:cols w:num="1" w:sep="0" w:space="708" w:equalWidth="1"/>
        </w:sect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0" w:type="auto"/>
        <w:tblInd w:w="7905" w:type="dxa"/>
        <w:tblBorders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6881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88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widowControl w:val="false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программа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«Поддержка и развитие малого и среднего предпринимательства на территории города Новоалтайска на 2021-2025 годы»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740"/>
        <w:pBdr/>
        <w:spacing/>
        <w:ind/>
        <w:jc w:val="center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Перечень индикаторов муниципальной программы</w:t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0" w:type="auto"/>
        <w:tblInd w:w="288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3223"/>
        <w:gridCol w:w="1321"/>
        <w:gridCol w:w="1755"/>
        <w:gridCol w:w="866"/>
        <w:gridCol w:w="866"/>
        <w:gridCol w:w="866"/>
        <w:gridCol w:w="866"/>
        <w:gridCol w:w="866"/>
        <w:gridCol w:w="3869"/>
      </w:tblGrid>
      <w:tr>
        <w:trPr/>
        <w:tc>
          <w:tcPr>
            <w:tcBorders/>
            <w:tcW w:w="3222" w:type="dxa"/>
            <w:vAlign w:val="center"/>
            <w:vMerge w:val="restart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индикатора (показателя)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1321" w:type="dxa"/>
            <w:vAlign w:val="center"/>
            <w:vMerge w:val="restart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/>
            <w:tcW w:w="9954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Значение целевого индикатора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76"/>
        </w:trPr>
        <w:tc>
          <w:tcPr>
            <w:tcBorders/>
            <w:tcW w:w="3222" w:type="dxa"/>
            <w:vAlign w:val="center"/>
            <w:vMerge w:val="continue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/>
            <w:tcW w:w="1321" w:type="dxa"/>
            <w:vAlign w:val="center"/>
            <w:vMerge w:val="continue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1755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Предыдущий период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tcBorders/>
            <w:tcW w:w="4330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Период реализации муниципальной программы с разбивкой по годам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869" w:type="auto"/>
            <w:vAlign w:val="center"/>
            <w:vMerge w:val="restart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Ожидаемые результаты реализации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/>
        <w:tc>
          <w:tcPr>
            <w:tcBorders/>
            <w:tcW w:w="3222" w:type="dxa"/>
            <w:vAlign w:val="center"/>
            <w:vMerge w:val="continue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/>
            <w:tcW w:w="1321" w:type="dxa"/>
            <w:vAlign w:val="center"/>
            <w:vMerge w:val="continue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1755" w:type="auto"/>
            <w:vAlign w:val="center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2020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2021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tcBorders/>
            <w:tcW w:w="86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center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center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/>
            <w:tcW w:w="3869" w:type="auto"/>
            <w:vAlign w:val="center"/>
            <w:vMerge w:val="continue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Borders/>
            <w:tcW w:w="3222" w:type="dxa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1321" w:type="dxa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1755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869" w:type="auto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/>
        <w:tc>
          <w:tcPr>
            <w:gridSpan w:val="9"/>
            <w:tcBorders/>
            <w:tcW w:w="14498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Цель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/>
        <w:tc>
          <w:tcPr>
            <w:gridSpan w:val="9"/>
            <w:tcBorders>
              <w:left w:val="single" w:color="000000" w:sz="4" w:space="0"/>
            </w:tcBorders>
            <w:tcW w:w="14498" w:type="auto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sz w:val="24"/>
                <w:szCs w:val="24"/>
              </w:rPr>
            </w:pPr>
            <w:r>
              <w:rPr>
                <w:b/>
              </w:rPr>
              <w:t xml:space="preserve">Задача 1. Финансово-кредитная поддержка субъектов малого и среднего предпринимательства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>
          <w:trHeight w:val="740"/>
        </w:trPr>
        <w:tc>
          <w:tcPr>
            <w:tcBorders>
              <w:left w:val="single" w:color="000000" w:sz="4" w:space="0"/>
            </w:tcBorders>
            <w:tcW w:w="3222" w:type="dxa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Количество СМСП, получивших финансовую поддержку в течение 2021–2025 годов</w:t>
            </w:r>
            <w:r/>
          </w:p>
        </w:tc>
        <w:tc>
          <w:tcPr>
            <w:tcBorders/>
            <w:tcW w:w="1321" w:type="dxa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1755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869" w:type="auto"/>
            <w:vAlign w:val="top"/>
            <w:textDirection w:val="lrTb"/>
            <w:noWrap w:val="false"/>
          </w:tcPr>
          <w:p>
            <w:pPr>
              <w:pStyle w:val="965"/>
              <w:widowControl w:val="true"/>
              <w:pBdr/>
              <w:spacing/>
              <w:ind w:right="147"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СМСП, получивших финансовую поддержку в течение 2021–2</w:t>
            </w:r>
            <w:r>
              <w:rPr>
                <w:rFonts w:ascii="Times New Roman" w:hAnsi="Times New Roman" w:cs="Times New Roman"/>
              </w:rPr>
              <w:t xml:space="preserve">025 годов </w:t>
              <w:br/>
              <w:t xml:space="preserve">0</w:t>
            </w:r>
            <w:r>
              <w:rPr>
                <w:rFonts w:ascii="Times New Roman" w:hAnsi="Times New Roman" w:cs="Times New Roman"/>
              </w:rPr>
              <w:t xml:space="preserve"> субъектов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trHeight w:val="668"/>
        </w:trPr>
        <w:tc>
          <w:tcPr>
            <w:tcBorders>
              <w:bottom w:val="single" w:color="000000" w:sz="4" w:space="0"/>
            </w:tcBorders>
            <w:tcW w:w="3222" w:type="dxa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созданных рабочих мест, в рамках оказанной поддержки в течение 2021–2025 годов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bottom w:val="single" w:color="000000" w:sz="4" w:space="0"/>
            </w:tcBorders>
            <w:tcW w:w="1321" w:type="dxa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1755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3869" w:type="auto"/>
            <w:vAlign w:val="top"/>
            <w:textDirection w:val="lrTb"/>
            <w:noWrap w:val="false"/>
          </w:tcPr>
          <w:p>
            <w:pPr>
              <w:pStyle w:val="965"/>
              <w:widowControl w:val="true"/>
              <w:pBdr/>
              <w:spacing/>
              <w:ind w:right="147"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созданных рабочих мест, в рамках оказанной поддержки в течение 2021–2025 годов 0</w:t>
            </w:r>
            <w:r>
              <w:rPr>
                <w:rFonts w:ascii="Times New Roman" w:hAnsi="Times New Roman" w:cs="Times New Roman"/>
              </w:rPr>
              <w:t xml:space="preserve"> единиц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trHeight w:val="495"/>
        </w:trPr>
        <w:tc>
          <w:tcPr>
            <w:tcBorders>
              <w:top w:val="single" w:color="000000" w:sz="4" w:space="0"/>
            </w:tcBorders>
            <w:tcW w:w="3222" w:type="dxa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</w:t>
            </w:r>
            <w:r>
              <w:rPr>
                <w:rFonts w:ascii="Times New Roman" w:hAnsi="Times New Roman" w:cs="Times New Roman"/>
              </w:rPr>
              <w:t xml:space="preserve">величение объема налоговых поступлений от СМСП </w:t>
            </w:r>
            <w:r>
              <w:rPr>
                <w:rFonts w:ascii="Times New Roman" w:hAnsi="Times New Roman" w:cs="Times New Roman"/>
              </w:rPr>
              <w:t xml:space="preserve">получивших финансовую поддержку </w:t>
            </w:r>
            <w:r>
              <w:rPr>
                <w:rFonts w:ascii="Times New Roman" w:hAnsi="Times New Roman" w:cs="Times New Roman"/>
              </w:rPr>
              <w:t xml:space="preserve">в бюджет города Новоалтайска </w:t>
            </w:r>
            <w:r>
              <w:rPr>
                <w:rFonts w:ascii="Times New Roman" w:hAnsi="Times New Roman" w:cs="Times New Roman"/>
              </w:rPr>
              <w:t xml:space="preserve">на 5%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top w:val="single" w:color="000000" w:sz="4" w:space="0"/>
            </w:tcBorders>
            <w:tcW w:w="1321" w:type="dxa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%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1755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3869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</w:t>
            </w:r>
            <w:r>
              <w:rPr>
                <w:rFonts w:ascii="Times New Roman" w:hAnsi="Times New Roman" w:cs="Times New Roman"/>
              </w:rPr>
              <w:t xml:space="preserve">величение объема налоговых поступлений от СМСП получивших финансовую поддержку в бюджет города Новоалтайска не менее 5%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trHeight w:val="304"/>
        </w:trPr>
        <w:tc>
          <w:tcPr>
            <w:gridSpan w:val="9"/>
            <w:tcBorders>
              <w:left w:val="single" w:color="000000" w:sz="4" w:space="0"/>
            </w:tcBorders>
            <w:tcW w:w="14498" w:type="auto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sz w:val="24"/>
                <w:szCs w:val="24"/>
              </w:rPr>
            </w:pPr>
            <w:r>
              <w:rPr>
                <w:b/>
              </w:rPr>
              <w:t xml:space="preserve">Задача 2. Повышение конкурентоспособности, узнаваемости и продвижение Новоалтайских СМСП , в том числе популяризация предпринимательской деятельности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>
          <w:trHeight w:val="826"/>
        </w:trPr>
        <w:tc>
          <w:tcPr>
            <w:tcBorders>
              <w:left w:val="single" w:color="000000" w:sz="4" w:space="0"/>
            </w:tcBorders>
            <w:tcW w:w="3222" w:type="dxa"/>
            <w:vAlign w:val="center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проведенных семинаров, «круглых столов», заседаний ОСП в течение 2021–2025 годов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/>
            <w:tcW w:w="1321" w:type="dxa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1755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/>
            <w:tcW w:w="3869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Количество проведенных семинаров, «круглых столов», заседаний ОСП в течение 2021–2025 годов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не менее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21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мероприятий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</w:tr>
      <w:tr>
        <w:trPr/>
        <w:tc>
          <w:tcPr>
            <w:gridSpan w:val="9"/>
            <w:tcBorders>
              <w:left w:val="single" w:color="000000" w:sz="4" w:space="0"/>
            </w:tcBorders>
            <w:tcW w:w="14498" w:type="auto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</w:rPr>
              <w:t xml:space="preserve">Задача 3. Создание условий для обеспечения жителей города доступными услугами и товарами</w:t>
            </w:r>
            <w:r>
              <w:rPr>
                <w:color w:val="000000" w:themeColor="text1"/>
                <w:sz w:val="24"/>
                <w:szCs w:val="24"/>
              </w:rPr>
            </w:r>
            <w:r>
              <w:rPr>
                <w:color w:val="000000" w:themeColor="text1"/>
                <w:sz w:val="24"/>
                <w:szCs w:val="24"/>
              </w:rPr>
            </w:r>
          </w:p>
        </w:tc>
      </w:tr>
      <w:tr>
        <w:trPr>
          <w:trHeight w:val="525"/>
        </w:trPr>
        <w:tc>
          <w:tcPr>
            <w:tcBorders>
              <w:left w:val="single" w:color="000000" w:sz="4" w:space="0"/>
              <w:bottom w:val="single" w:color="000000" w:sz="4" w:space="0"/>
            </w:tcBorders>
            <w:tcW w:w="3222" w:type="dxa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проведенных ярмарочных дней в течении 2021-2025 годов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bottom w:val="single" w:color="000000" w:sz="4" w:space="0"/>
            </w:tcBorders>
            <w:tcW w:w="1321" w:type="dxa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дней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1755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17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3869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Количество проведенных ярмарочных дней в течении 2021-2025 годов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должно составлять н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е менее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171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дней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</w:tr>
      <w:tr>
        <w:trPr>
          <w:trHeight w:val="623"/>
        </w:trPr>
        <w:tc>
          <w:tcPr>
            <w:tcBorders>
              <w:top w:val="single" w:color="000000" w:sz="4" w:space="0"/>
              <w:left w:val="single" w:color="000000" w:sz="4" w:space="0"/>
            </w:tcBorders>
            <w:tcW w:w="3222" w:type="dxa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Обеспеченность населения площадью торговых объектов на 1000 человек населения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top w:val="single" w:color="000000" w:sz="4" w:space="0"/>
            </w:tcBorders>
            <w:tcW w:w="1321" w:type="dxa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м. кв.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1755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6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3869" w:type="auto"/>
            <w:vAlign w:val="top"/>
            <w:textDirection w:val="lrTb"/>
            <w:noWrap w:val="false"/>
          </w:tcPr>
          <w:p>
            <w:pPr>
              <w:pStyle w:val="965"/>
              <w:pBdr/>
              <w:spacing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Обеспеченность населения площадью торговых объектов на 1000 человек населения составит не менее 1000 м. кв.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</w:tr>
    </w:tbl>
    <w:p>
      <w:pPr>
        <w:pStyle w:val="740"/>
        <w:pBdr/>
        <w:spacing w:line="233" w:lineRule="auto"/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740"/>
        <w:pBdr/>
        <w:spacing w:line="233" w:lineRule="auto"/>
        <w:ind w:firstLine="284"/>
        <w:jc w:val="both"/>
        <w:rPr/>
      </w:pPr>
      <w:r/>
      <w:r/>
    </w:p>
    <w:p>
      <w:pPr>
        <w:pStyle w:val="740"/>
        <w:pBdr/>
        <w:spacing/>
        <w:ind/>
        <w:rPr/>
        <w:sectPr>
          <w:footnotePr/>
          <w:endnotePr/>
          <w:type w:val="nextPage"/>
          <w:pgSz w:h="11906" w:orient="landscape" w:w="16838"/>
          <w:pgMar w:top="709" w:right="1134" w:bottom="568" w:left="1134" w:header="709" w:footer="709" w:gutter="0"/>
          <w:cols w:num="1" w:sep="0" w:space="708" w:equalWidth="1"/>
        </w:sectPr>
      </w:pPr>
      <w:r/>
      <w:r/>
    </w:p>
    <w:tbl>
      <w:tblPr>
        <w:tblW w:w="0" w:type="auto"/>
        <w:tblInd w:w="9039" w:type="dxa"/>
        <w:tblBorders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747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747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2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widowControl w:val="false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программа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«Поддержка и развитие малого и среднего предпринимательства на территории города Новоалтайска на 2021-2025 годы»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740"/>
        <w:pBdr/>
        <w:spacing/>
        <w:ind/>
        <w:jc w:val="center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Перечень мероприятий муниципальной программы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0" w:type="dxa"/>
          <w:top w:w="75" w:type="dxa"/>
          <w:right w:w="0" w:type="dxa"/>
          <w:bottom w:w="75" w:type="dxa"/>
        </w:tblCellMar>
        <w:tblLook w:val="04A0" w:firstRow="1" w:lastRow="0" w:firstColumn="1" w:lastColumn="0" w:noHBand="0" w:noVBand="1"/>
      </w:tblPr>
      <w:tblGrid>
        <w:gridCol w:w="662"/>
        <w:gridCol w:w="2959"/>
        <w:gridCol w:w="1344"/>
        <w:gridCol w:w="2366"/>
        <w:gridCol w:w="922"/>
        <w:gridCol w:w="663"/>
        <w:gridCol w:w="1055"/>
        <w:gridCol w:w="790"/>
        <w:gridCol w:w="790"/>
        <w:gridCol w:w="1185"/>
        <w:gridCol w:w="1998"/>
      </w:tblGrid>
      <w:tr>
        <w:trPr>
          <w:cantSplit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№</w:t>
            </w:r>
            <w:r>
              <w:t xml:space="preserve"> п/п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Цель, задача, мероприятие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Срок реализации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Ответственный исполнитель, участники</w:t>
            </w:r>
            <w:r/>
          </w:p>
        </w:tc>
        <w:tc>
          <w:tcPr>
            <w:gridSpan w:val="6"/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834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Сумма расходов, тыс. рублей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Источники финансирования</w:t>
            </w:r>
            <w:r/>
          </w:p>
        </w:tc>
      </w:tr>
      <w:tr>
        <w:trPr>
          <w:cantSplit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2021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2022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2023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2024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2025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всего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/>
            <w:r/>
          </w:p>
        </w:tc>
      </w:tr>
      <w:tr>
        <w:trPr>
          <w:cantSplit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1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2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3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4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5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6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7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8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9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10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center"/>
              <w:rPr/>
            </w:pPr>
            <w:r>
              <w:t xml:space="preserve">11</w:t>
            </w:r>
            <w:r/>
          </w:p>
        </w:tc>
      </w:tr>
      <w:tr>
        <w:trPr>
          <w:cantSplit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>
                <w:b/>
              </w:rPr>
            </w:pPr>
            <w:r>
              <w:rPr>
                <w:b/>
              </w:rPr>
              <w:t xml:space="preserve">1.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Цель: создание благоприятных условий для устойчивого функционирования и развития малого и среднего предпринимательства на территории города Новоалтайска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2021-2025 годы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Отдел по развитию предпринимательства и рыночной инфраструктуры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128,2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</w:t>
            </w:r>
            <w:r>
              <w:rPr>
                <w:b/>
                <w:color w:val="000000" w:themeColor="text1"/>
              </w:rPr>
              <w:t xml:space="preserve">71</w:t>
            </w:r>
            <w:r>
              <w:rPr>
                <w:b/>
                <w:color w:val="000000" w:themeColor="text1"/>
              </w:rPr>
              <w:t xml:space="preserve">,</w:t>
            </w:r>
            <w:r>
              <w:rPr>
                <w:b/>
                <w:color w:val="000000" w:themeColor="text1"/>
              </w:rPr>
              <w:t xml:space="preserve">1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</w:t>
            </w:r>
            <w:r>
              <w:rPr>
                <w:b/>
                <w:color w:val="000000" w:themeColor="text1"/>
              </w:rPr>
              <w:t xml:space="preserve">77,8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</w:t>
            </w:r>
            <w:r>
              <w:rPr>
                <w:b/>
                <w:color w:val="000000" w:themeColor="text1"/>
              </w:rPr>
              <w:t xml:space="preserve">0,0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</w:t>
            </w:r>
            <w:r>
              <w:rPr>
                <w:b/>
                <w:color w:val="000000" w:themeColor="text1"/>
              </w:rPr>
              <w:t xml:space="preserve">0,0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8</w:t>
            </w:r>
            <w:r>
              <w:rPr>
                <w:b/>
                <w:color w:val="000000" w:themeColor="text1"/>
              </w:rPr>
              <w:t xml:space="preserve">3</w:t>
            </w:r>
            <w:r>
              <w:rPr>
                <w:b/>
                <w:color w:val="000000" w:themeColor="text1"/>
              </w:rPr>
              <w:t xml:space="preserve">7,</w:t>
            </w:r>
            <w:r>
              <w:rPr>
                <w:b/>
                <w:color w:val="000000" w:themeColor="text1"/>
              </w:rPr>
              <w:t xml:space="preserve">1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>
                <w:b/>
              </w:rPr>
            </w:pPr>
            <w:r>
              <w:rPr>
                <w:b/>
              </w:rPr>
              <w:t xml:space="preserve">Всего, в том числе:</w:t>
            </w:r>
            <w:r>
              <w:rPr>
                <w:b/>
              </w:rPr>
            </w:r>
            <w:r>
              <w:rPr>
                <w:b/>
              </w:rPr>
            </w:r>
          </w:p>
        </w:tc>
      </w:tr>
      <w:tr>
        <w:trPr>
          <w:cantSplit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федеральный бюджет</w:t>
            </w:r>
            <w:r/>
          </w:p>
        </w:tc>
      </w:tr>
      <w:tr>
        <w:trPr>
          <w:cantSplit/>
          <w:trHeight w:val="99"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краевой бюджет</w:t>
            </w:r>
            <w:r/>
          </w:p>
        </w:tc>
      </w:tr>
      <w:tr>
        <w:trPr>
          <w:cantSplit/>
          <w:trHeight w:val="65"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128,2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</w:t>
            </w:r>
            <w:r>
              <w:rPr>
                <w:b/>
                <w:color w:val="000000" w:themeColor="text1"/>
              </w:rPr>
              <w:t xml:space="preserve">71</w:t>
            </w:r>
            <w:r>
              <w:rPr>
                <w:b/>
                <w:color w:val="000000" w:themeColor="text1"/>
              </w:rPr>
              <w:t xml:space="preserve">,</w:t>
            </w:r>
            <w:r>
              <w:rPr>
                <w:b/>
                <w:color w:val="000000" w:themeColor="text1"/>
              </w:rPr>
              <w:t xml:space="preserve">1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</w:t>
            </w:r>
            <w:r>
              <w:rPr>
                <w:b/>
                <w:color w:val="000000" w:themeColor="text1"/>
              </w:rPr>
              <w:t xml:space="preserve">77,8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180</w:t>
            </w:r>
            <w:r>
              <w:rPr>
                <w:b/>
                <w:color w:val="000000" w:themeColor="text1"/>
              </w:rPr>
              <w:t xml:space="preserve">,0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</w:t>
            </w:r>
            <w:r>
              <w:rPr>
                <w:b/>
                <w:color w:val="000000" w:themeColor="text1"/>
              </w:rPr>
              <w:t xml:space="preserve">8</w:t>
            </w:r>
            <w:r>
              <w:rPr>
                <w:b/>
                <w:color w:val="000000" w:themeColor="text1"/>
              </w:rPr>
              <w:t xml:space="preserve">0,0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8</w:t>
            </w:r>
            <w:r>
              <w:rPr>
                <w:b/>
                <w:color w:val="000000" w:themeColor="text1"/>
              </w:rPr>
              <w:t xml:space="preserve">3</w:t>
            </w:r>
            <w:r>
              <w:rPr>
                <w:b/>
                <w:color w:val="000000" w:themeColor="text1"/>
              </w:rPr>
              <w:t xml:space="preserve">7,</w:t>
            </w:r>
            <w:r>
              <w:rPr>
                <w:b/>
                <w:color w:val="000000" w:themeColor="text1"/>
              </w:rPr>
              <w:t xml:space="preserve">1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бюджет городского округа</w:t>
            </w:r>
            <w:r/>
          </w:p>
        </w:tc>
      </w:tr>
      <w:tr>
        <w:trPr>
          <w:cantSplit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2.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Задача 1. 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Финансово-кредитная поддержка субъектов малого и среднего предпринимательства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t xml:space="preserve">Отдел </w:t>
            </w:r>
            <w:r>
              <w:t xml:space="preserve">по развитию предпринимательства и рыночной инфраструктуры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Всего, в том числе:</w:t>
            </w:r>
            <w:r/>
          </w:p>
        </w:tc>
      </w:tr>
      <w:tr>
        <w:trPr>
          <w:cantSplit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федеральный бюджет</w:t>
            </w:r>
            <w:r/>
          </w:p>
        </w:tc>
      </w:tr>
      <w:tr>
        <w:trPr>
          <w:cantSplit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краевой бюджет</w:t>
            </w:r>
            <w:r/>
          </w:p>
        </w:tc>
      </w:tr>
      <w:tr>
        <w:trPr>
          <w:cantSplit/>
          <w:trHeight w:val="20"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бюджет городского округа</w:t>
            </w:r>
            <w:r/>
          </w:p>
        </w:tc>
      </w:tr>
      <w:tr>
        <w:trPr>
          <w:cantSplit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3.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Мероприятие 1.1</w:t>
            </w:r>
            <w:r>
              <w:t xml:space="preserve">.</w:t>
            </w:r>
            <w:r/>
          </w:p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Субсидирование части затрат </w:t>
              <w:br/>
              <w:t xml:space="preserve">по социально значимым проектам (центры времяпровождения детей; дошкольные</w:t>
            </w:r>
            <w:r>
              <w:t xml:space="preserve"> образовательные центры, в том числе спортивные и медицинские учреждения; </w:t>
            </w:r>
            <w:r>
              <w:t xml:space="preserve">субсидирование части затрат субъектов социального предпринимательства)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restart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Отдел </w:t>
            </w:r>
            <w:r>
              <w:t xml:space="preserve">по развитию предпринимательства и рыночной инфраструктуры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Всего, в том числе:</w:t>
            </w:r>
            <w:r/>
          </w:p>
        </w:tc>
      </w:tr>
      <w:tr>
        <w:trPr>
          <w:cantSplit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федеральный бюджет</w:t>
            </w:r>
            <w:r/>
          </w:p>
        </w:tc>
      </w:tr>
      <w:tr>
        <w:trPr>
          <w:cantSplit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краевой бюджет</w:t>
            </w:r>
            <w:r/>
          </w:p>
        </w:tc>
      </w:tr>
      <w:tr>
        <w:trPr>
          <w:cantSplit/>
          <w:trHeight w:val="137"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vMerge w:val="continue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/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бюджет городского округа</w:t>
            </w:r>
            <w:r/>
          </w:p>
        </w:tc>
      </w:tr>
      <w:tr>
        <w:trPr>
          <w:cantSplit/>
          <w:trHeight w:val="1354"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4.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Задача 2. 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Повышение </w:t>
            </w:r>
            <w:r>
              <w:rPr>
                <w:b/>
              </w:rPr>
              <w:t xml:space="preserve">к</w:t>
            </w:r>
            <w:r>
              <w:rPr>
                <w:b/>
              </w:rPr>
              <w:t xml:space="preserve">онкурентоспособности</w:t>
            </w:r>
            <w:r>
              <w:rPr>
                <w:b/>
              </w:rPr>
              <w:t xml:space="preserve">, узнаваемости и продвижение н</w:t>
            </w:r>
            <w:r>
              <w:rPr>
                <w:b/>
              </w:rPr>
              <w:t xml:space="preserve">овоалтайских</w:t>
            </w:r>
            <w:r>
              <w:rPr>
                <w:b/>
              </w:rPr>
              <w:t xml:space="preserve"> СМСП , в том числе популяризация предпринимательской деятельности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2021</w:t>
            </w:r>
            <w:r>
              <w:t xml:space="preserve">-202</w:t>
            </w:r>
            <w:r>
              <w:t xml:space="preserve">5</w:t>
            </w:r>
            <w:r>
              <w:t xml:space="preserve"> годы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t xml:space="preserve">Отдел </w:t>
            </w:r>
            <w:r>
              <w:t xml:space="preserve">по развитию предпринимательства и рыночной инфраструктуры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128,2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171</w:t>
            </w:r>
            <w:r>
              <w:rPr>
                <w:b/>
                <w:color w:val="000000" w:themeColor="text1"/>
              </w:rPr>
              <w:t xml:space="preserve">,</w:t>
            </w:r>
            <w:r>
              <w:rPr>
                <w:b/>
                <w:color w:val="000000" w:themeColor="text1"/>
              </w:rPr>
              <w:t xml:space="preserve">1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177</w:t>
            </w:r>
            <w:r>
              <w:rPr>
                <w:b/>
                <w:color w:val="000000" w:themeColor="text1"/>
              </w:rPr>
              <w:t xml:space="preserve">,8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180,0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</w:t>
            </w:r>
            <w:r>
              <w:rPr>
                <w:b/>
                <w:color w:val="000000" w:themeColor="text1"/>
              </w:rPr>
              <w:t xml:space="preserve">0,0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83</w:t>
            </w:r>
            <w:r>
              <w:rPr>
                <w:b/>
                <w:color w:val="000000" w:themeColor="text1"/>
              </w:rPr>
              <w:t xml:space="preserve">7,</w:t>
            </w:r>
            <w:r>
              <w:rPr>
                <w:b/>
                <w:color w:val="000000" w:themeColor="text1"/>
              </w:rPr>
              <w:t xml:space="preserve">1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бюджет городского округа</w:t>
            </w:r>
            <w:r/>
          </w:p>
        </w:tc>
      </w:tr>
      <w:tr>
        <w:trPr>
          <w:cantSplit/>
          <w:trHeight w:val="1183"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5</w:t>
            </w:r>
            <w:r>
              <w:t xml:space="preserve">.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Мероприятие 2.1.</w:t>
            </w:r>
            <w:r/>
          </w:p>
          <w:p>
            <w:pPr>
              <w:pStyle w:val="740"/>
              <w:pBdr/>
              <w:spacing/>
              <w:ind/>
              <w:rPr/>
            </w:pPr>
            <w:r>
              <w:t xml:space="preserve">Проведение выставки-продажи товаропроизводителей</w:t>
            </w:r>
            <w:r>
              <w:t xml:space="preserve">, тематических мини-выставок, гастрономических фестивалей</w:t>
            </w:r>
            <w:r/>
          </w:p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на территории города Новоалтайска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left"/>
              <w:rPr/>
            </w:pPr>
            <w:r>
              <w:t xml:space="preserve">2021</w:t>
            </w:r>
            <w:r>
              <w:t xml:space="preserve">-202</w:t>
            </w:r>
            <w:r>
              <w:t xml:space="preserve">5</w:t>
            </w:r>
            <w:r>
              <w:t xml:space="preserve"> годы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Отдел </w:t>
            </w:r>
            <w:r>
              <w:t xml:space="preserve">по развитию предпринимательства и рыночной инфраструктуры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128,2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</w:t>
            </w:r>
            <w:r>
              <w:rPr>
                <w:color w:val="000000" w:themeColor="text1"/>
              </w:rPr>
              <w:t xml:space="preserve">71</w:t>
            </w:r>
            <w:r>
              <w:rPr>
                <w:color w:val="000000" w:themeColor="text1"/>
              </w:rPr>
              <w:t xml:space="preserve">,</w:t>
            </w:r>
            <w:r>
              <w:rPr>
                <w:color w:val="000000" w:themeColor="text1"/>
              </w:rPr>
              <w:t xml:space="preserve">1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</w:t>
            </w:r>
            <w:r>
              <w:rPr>
                <w:color w:val="000000" w:themeColor="text1"/>
              </w:rPr>
              <w:t xml:space="preserve">77,8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18</w:t>
            </w:r>
            <w:r>
              <w:rPr>
                <w:color w:val="000000" w:themeColor="text1"/>
              </w:rPr>
              <w:t xml:space="preserve">0,0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180</w:t>
            </w:r>
            <w:r>
              <w:rPr>
                <w:color w:val="000000" w:themeColor="text1"/>
              </w:rPr>
              <w:t xml:space="preserve">,0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837</w:t>
            </w:r>
            <w:r>
              <w:rPr>
                <w:color w:val="000000" w:themeColor="text1"/>
              </w:rPr>
              <w:t xml:space="preserve">,1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бюджет городского округа</w:t>
            </w:r>
            <w:r/>
          </w:p>
        </w:tc>
      </w:tr>
      <w:tr>
        <w:trPr>
          <w:cantSplit/>
          <w:trHeight w:val="1803"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6</w:t>
            </w:r>
            <w:r>
              <w:t xml:space="preserve">.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Мероприятие 2.2</w:t>
            </w:r>
            <w:r>
              <w:t xml:space="preserve">.</w:t>
            </w:r>
            <w:r/>
          </w:p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Проведение и</w:t>
            </w:r>
            <w:r>
              <w:t xml:space="preserve"> организ</w:t>
            </w:r>
            <w:r>
              <w:t xml:space="preserve">ация конференций, форумов, семинаров, тренингов, общественных советов</w:t>
            </w:r>
            <w:r>
              <w:t xml:space="preserve">, </w:t>
            </w:r>
            <w:r>
              <w:t xml:space="preserve">«</w:t>
            </w:r>
            <w:r>
              <w:t xml:space="preserve">Дня предпринимателя</w:t>
            </w:r>
            <w:r>
              <w:t xml:space="preserve">»</w:t>
            </w:r>
            <w:r>
              <w:t xml:space="preserve">, </w:t>
            </w:r>
            <w:r>
              <w:t xml:space="preserve">«</w:t>
            </w:r>
            <w:r>
              <w:t xml:space="preserve">круглых столов</w:t>
            </w:r>
            <w:r>
              <w:t xml:space="preserve">»</w:t>
            </w:r>
            <w:r>
              <w:t xml:space="preserve">, презентаций с участием СМСП</w:t>
            </w:r>
            <w:r>
              <w:t xml:space="preserve">, включая городской конкурс «Лучший предприниматель»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2022</w:t>
            </w:r>
            <w:r>
              <w:t xml:space="preserve">-202</w:t>
            </w:r>
            <w:r>
              <w:t xml:space="preserve">5</w:t>
            </w:r>
            <w:r>
              <w:t xml:space="preserve"> годы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Отдел </w:t>
            </w:r>
            <w:r>
              <w:t xml:space="preserve">по развитию предпринимательства и рыночной инфраструктуры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/>
            </w:pPr>
            <w:r>
              <w:t xml:space="preserve">бюджет городского округа</w:t>
            </w:r>
            <w:r/>
          </w:p>
        </w:tc>
      </w:tr>
      <w:tr>
        <w:trPr>
          <w:cantSplit/>
          <w:trHeight w:val="1098"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7</w:t>
            </w:r>
            <w:r>
              <w:t xml:space="preserve">.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Мероприятие 2.3.</w:t>
            </w:r>
            <w:r/>
          </w:p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Популяризация предпринимательской деятельности</w:t>
            </w:r>
            <w:r>
              <w:t xml:space="preserve">, в том числе и</w:t>
            </w:r>
            <w:r>
              <w:t xml:space="preserve">здание </w:t>
            </w:r>
            <w:r>
              <w:t xml:space="preserve">специализированной, </w:t>
            </w:r>
            <w:r>
              <w:t xml:space="preserve">информационно-справочной, м</w:t>
            </w:r>
            <w:r>
              <w:t xml:space="preserve">етодической литературы, книг, журналов, пособий, рекламной продукции и рекламных стендов </w:t>
            </w:r>
            <w:r>
              <w:t xml:space="preserve">для СМСП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2022</w:t>
            </w:r>
            <w:r>
              <w:t xml:space="preserve">-202</w:t>
            </w:r>
            <w:r>
              <w:t xml:space="preserve">5</w:t>
            </w:r>
            <w:r>
              <w:t xml:space="preserve"> годы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Отдел </w:t>
            </w:r>
            <w:r>
              <w:t xml:space="preserve">по развитию предпринимательства и рыночной инфраструктуры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/>
            </w:pPr>
            <w:r>
              <w:t xml:space="preserve">бюджет городского округа</w:t>
            </w:r>
            <w:r/>
          </w:p>
        </w:tc>
      </w:tr>
      <w:tr>
        <w:trPr>
          <w:cantSplit/>
          <w:trHeight w:val="3055"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8</w:t>
            </w:r>
            <w:r>
              <w:t xml:space="preserve">.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Мероприятие 2.4.</w:t>
            </w:r>
            <w:r/>
          </w:p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Содействие развития СМСП использующих специальный налоговый режим для самоза</w:t>
            </w:r>
            <w:r>
              <w:t xml:space="preserve">нятых граждан (налог на профессиональный доход), в том числе проведение городских конкурсов, выставок-ярмарок ремесленных (сувенирных) изделий, семинаров и других мероприятий для СМСП осуществляющих деятельность в области художественных промыслов и ремесел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2022</w:t>
            </w:r>
            <w:r>
              <w:t xml:space="preserve">-202</w:t>
            </w:r>
            <w:r>
              <w:t xml:space="preserve">5</w:t>
            </w:r>
            <w:r>
              <w:t xml:space="preserve"> годы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t xml:space="preserve">Отдел </w:t>
            </w:r>
            <w:r>
              <w:t xml:space="preserve">по развитию предпринимательства и рыночной инфраструктуры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rPr>
                <w:color w:val="ff0000"/>
              </w:rPr>
              <w:t xml:space="preserve">-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0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0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0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/>
            </w:pPr>
            <w:r>
              <w:t xml:space="preserve">бюджет городского округа</w:t>
            </w:r>
            <w:r/>
          </w:p>
        </w:tc>
      </w:tr>
      <w:tr>
        <w:trPr>
          <w:cantSplit/>
          <w:trHeight w:val="696"/>
        </w:trPr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9</w:t>
            </w:r>
            <w:r>
              <w:t xml:space="preserve">.</w:t>
            </w:r>
            <w:r/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Задача 3</w:t>
            </w:r>
            <w:r>
              <w:rPr>
                <w:b/>
              </w:rPr>
              <w:t xml:space="preserve">. 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Создание условий для обеспечения жителей города доступными услугами </w:t>
            </w:r>
            <w:r>
              <w:rPr>
                <w:b/>
              </w:rPr>
              <w:t xml:space="preserve">и товарами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left"/>
              <w:rPr>
                <w:b/>
              </w:rPr>
            </w:pPr>
            <w:r>
              <w:t xml:space="preserve">2022</w:t>
            </w:r>
            <w:r>
              <w:t xml:space="preserve">-202</w:t>
            </w:r>
            <w:r>
              <w:t xml:space="preserve">5</w:t>
            </w:r>
            <w:r>
              <w:t xml:space="preserve"> годы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t xml:space="preserve">Отдел </w:t>
            </w:r>
            <w:r>
              <w:t xml:space="preserve">по развитию предпринимательства и рыночной инфраструктуры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  <w:color w:val="ff0000"/>
              </w:rPr>
              <w:t xml:space="preserve">-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0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0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</w:rPr>
            </w:pPr>
            <w:r>
              <w:rPr>
                <w:b/>
              </w:rPr>
              <w:t xml:space="preserve">0</w:t>
            </w:r>
            <w:r>
              <w:rPr>
                <w:b/>
              </w:rPr>
            </w:r>
            <w:r>
              <w:rPr>
                <w:b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</w:tc>
        <w:tc>
          <w:tcPr>
            <w:tcBorders/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/>
            </w:pPr>
            <w:r>
              <w:t xml:space="preserve">бюджет городского округа</w:t>
            </w:r>
            <w:r/>
          </w:p>
        </w:tc>
      </w:tr>
      <w:tr>
        <w:trPr>
          <w:cantSplit/>
          <w:trHeight w:val="1508"/>
        </w:trPr>
        <w:tc>
          <w:tcPr>
            <w:tcBorders>
              <w:bottom w:val="single" w:color="000000" w:sz="4" w:space="0"/>
            </w:tcBorders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10.</w:t>
            </w:r>
            <w:r/>
          </w:p>
        </w:tc>
        <w:tc>
          <w:tcPr>
            <w:tcBorders>
              <w:bottom w:val="single" w:color="000000" w:sz="4" w:space="0"/>
            </w:tcBorders>
            <w:tcMar>
              <w:left w:w="102" w:type="dxa"/>
              <w:top w:w="62" w:type="dxa"/>
              <w:right w:w="62" w:type="dxa"/>
              <w:bottom w:w="102" w:type="dxa"/>
            </w:tcMar>
            <w:tcW w:w="1004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Мероприятие 3.1</w:t>
            </w:r>
            <w:r>
              <w:t xml:space="preserve">.</w:t>
            </w:r>
            <w:r/>
          </w:p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Создание условий для реализации населением города излишков сельскохозяйственной продукции, выращенной на садово</w:t>
            </w:r>
            <w:r>
              <w:t xml:space="preserve">-</w:t>
            </w:r>
            <w:r>
              <w:t xml:space="preserve">огородных участках</w:t>
            </w:r>
            <w:r>
              <w:t xml:space="preserve">, в том числе </w:t>
            </w:r>
            <w:r>
              <w:t xml:space="preserve">проведение городских ярмарочных  мероприятий</w:t>
            </w:r>
            <w:r/>
          </w:p>
        </w:tc>
        <w:tc>
          <w:tcPr>
            <w:tcBorders>
              <w:bottom w:val="single" w:color="000000" w:sz="4" w:space="0"/>
            </w:tcBorders>
            <w:tcMar>
              <w:left w:w="102" w:type="dxa"/>
              <w:top w:w="62" w:type="dxa"/>
              <w:right w:w="62" w:type="dxa"/>
              <w:bottom w:w="102" w:type="dxa"/>
            </w:tcMar>
            <w:tcW w:w="456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left"/>
              <w:rPr/>
            </w:pPr>
            <w:r>
              <w:t xml:space="preserve">2022</w:t>
            </w:r>
            <w:r>
              <w:t xml:space="preserve">-202</w:t>
            </w:r>
            <w:r>
              <w:t xml:space="preserve">5</w:t>
            </w:r>
            <w:r>
              <w:t xml:space="preserve"> годы </w:t>
            </w:r>
            <w:r/>
          </w:p>
        </w:tc>
        <w:tc>
          <w:tcPr>
            <w:tcBorders>
              <w:bottom w:val="single" w:color="000000" w:sz="4" w:space="0"/>
            </w:tcBorders>
            <w:tcMar>
              <w:left w:w="102" w:type="dxa"/>
              <w:top w:w="62" w:type="dxa"/>
              <w:right w:w="62" w:type="dxa"/>
              <w:bottom w:w="102" w:type="dxa"/>
            </w:tcMar>
            <w:tcW w:w="80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Отдел </w:t>
            </w:r>
            <w:r>
              <w:t xml:space="preserve">по развитию предпринимательства и рыночной инфраструктуры</w:t>
            </w:r>
            <w:r/>
          </w:p>
        </w:tc>
        <w:tc>
          <w:tcPr>
            <w:tcBorders>
              <w:bottom w:val="single" w:color="000000" w:sz="4" w:space="0"/>
            </w:tcBorders>
            <w:tcMar>
              <w:left w:w="102" w:type="dxa"/>
              <w:top w:w="62" w:type="dxa"/>
              <w:right w:w="62" w:type="dxa"/>
              <w:bottom w:w="102" w:type="dxa"/>
            </w:tcMar>
            <w:tcW w:w="313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rPr>
                <w:color w:val="ff0000"/>
              </w:rPr>
              <w:t xml:space="preserve">-</w:t>
            </w:r>
            <w:r/>
          </w:p>
        </w:tc>
        <w:tc>
          <w:tcPr>
            <w:tcBorders>
              <w:bottom w:val="single" w:color="000000" w:sz="4" w:space="0"/>
            </w:tcBorders>
            <w:tcMar>
              <w:left w:w="102" w:type="dxa"/>
              <w:top w:w="62" w:type="dxa"/>
              <w:right w:w="62" w:type="dxa"/>
              <w:bottom w:w="102" w:type="dxa"/>
            </w:tcMar>
            <w:tcW w:w="225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0</w:t>
            </w:r>
            <w:r/>
          </w:p>
        </w:tc>
        <w:tc>
          <w:tcPr>
            <w:tcBorders>
              <w:bottom w:val="single" w:color="000000" w:sz="4" w:space="0"/>
            </w:tcBorders>
            <w:tcMar>
              <w:left w:w="102" w:type="dxa"/>
              <w:top w:w="62" w:type="dxa"/>
              <w:right w:w="62" w:type="dxa"/>
              <w:bottom w:w="102" w:type="dxa"/>
            </w:tcMar>
            <w:tcW w:w="35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0</w:t>
            </w:r>
            <w:r/>
          </w:p>
        </w:tc>
        <w:tc>
          <w:tcPr>
            <w:tcBorders>
              <w:bottom w:val="single" w:color="000000" w:sz="4" w:space="0"/>
            </w:tcBorders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/>
            </w:pPr>
            <w:r>
              <w:t xml:space="preserve">0</w:t>
            </w:r>
            <w:r/>
          </w:p>
        </w:tc>
        <w:tc>
          <w:tcPr>
            <w:tcBorders>
              <w:bottom w:val="single" w:color="000000" w:sz="4" w:space="0"/>
            </w:tcBorders>
            <w:tcMar>
              <w:left w:w="102" w:type="dxa"/>
              <w:top w:w="62" w:type="dxa"/>
              <w:right w:w="62" w:type="dxa"/>
              <w:bottom w:w="102" w:type="dxa"/>
            </w:tcMar>
            <w:tcW w:w="26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bottom w:val="single" w:color="000000" w:sz="4" w:space="0"/>
            </w:tcBorders>
            <w:tcMar>
              <w:left w:w="102" w:type="dxa"/>
              <w:top w:w="62" w:type="dxa"/>
              <w:right w:w="62" w:type="dxa"/>
              <w:bottom w:w="102" w:type="dxa"/>
            </w:tcMar>
            <w:tcW w:w="402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bottom w:val="single" w:color="000000" w:sz="4" w:space="0"/>
            </w:tcBorders>
            <w:tcMar>
              <w:left w:w="102" w:type="dxa"/>
              <w:top w:w="62" w:type="dxa"/>
              <w:right w:w="62" w:type="dxa"/>
              <w:bottom w:w="102" w:type="dxa"/>
            </w:tcMar>
            <w:tcW w:w="678" w:type="pct"/>
            <w:vAlign w:val="top"/>
            <w:textDirection w:val="lrTb"/>
            <w:noWrap w:val="false"/>
          </w:tcPr>
          <w:p>
            <w:pPr>
              <w:pStyle w:val="740"/>
              <w:widowControl w:val="false"/>
              <w:pBdr/>
              <w:spacing/>
              <w:ind/>
              <w:jc w:val="both"/>
              <w:rPr/>
            </w:pPr>
            <w:r>
              <w:t xml:space="preserve">бюджет городского округа</w:t>
            </w:r>
            <w:r/>
          </w:p>
        </w:tc>
      </w:tr>
    </w:tbl>
    <w:p>
      <w:pPr>
        <w:pStyle w:val="740"/>
        <w:pBdr/>
        <w:spacing/>
        <w:ind/>
        <w:rPr>
          <w:sz w:val="28"/>
          <w:szCs w:val="28"/>
        </w:rPr>
      </w:pPr>
      <w:r>
        <w:t xml:space="preserve">                                        </w:t>
      </w: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rPr/>
      </w:pPr>
      <w:r/>
      <w:r/>
    </w:p>
    <w:p>
      <w:pPr>
        <w:pStyle w:val="740"/>
        <w:pBdr/>
        <w:spacing/>
        <w:ind/>
        <w:rPr/>
      </w:pPr>
      <w:r/>
      <w:r/>
    </w:p>
    <w:p>
      <w:pPr>
        <w:pStyle w:val="740"/>
        <w:pBdr/>
        <w:spacing/>
        <w:ind/>
        <w:rPr/>
        <w:sectPr>
          <w:footnotePr/>
          <w:endnotePr/>
          <w:type w:val="nextPage"/>
          <w:pgSz w:h="11906" w:orient="landscape" w:w="16838"/>
          <w:pgMar w:top="426" w:right="1134" w:bottom="568" w:left="1134" w:header="709" w:footer="709" w:gutter="0"/>
          <w:cols w:num="1" w:sep="0" w:space="708" w:equalWidth="1"/>
        </w:sectPr>
      </w:pPr>
      <w:r/>
      <w:r/>
    </w:p>
    <w:tbl>
      <w:tblPr>
        <w:tblW w:w="0" w:type="auto"/>
        <w:tblInd w:w="3936" w:type="dxa"/>
        <w:tblBorders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635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6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widowControl w:val="false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программа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«Поддержка и развитие малого и среднего предпринимательства на территории города Новоалтайска на 2021-2025 годы»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Объем финансовых ресурсов,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необходимых для реализации муниципальной программы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0" w:type="auto"/>
        <w:tblInd w:w="62" w:type="dxa"/>
        <w:tblBorders/>
        <w:tblLayout w:type="autofit"/>
        <w:tblCellMar>
          <w:left w:w="62" w:type="dxa"/>
          <w:top w:w="28" w:type="dxa"/>
          <w:right w:w="62" w:type="dxa"/>
          <w:bottom w:w="28" w:type="dxa"/>
        </w:tblCellMar>
        <w:tblLook w:val="04A0" w:firstRow="1" w:lastRow="0" w:firstColumn="1" w:lastColumn="0" w:noHBand="0" w:noVBand="1"/>
      </w:tblPr>
      <w:tblGrid>
        <w:gridCol w:w="3335"/>
        <w:gridCol w:w="993"/>
        <w:gridCol w:w="992"/>
        <w:gridCol w:w="992"/>
        <w:gridCol w:w="851"/>
        <w:gridCol w:w="985"/>
        <w:gridCol w:w="1134"/>
      </w:tblGrid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vMerge w:val="restart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Источники и направления расходов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947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Сумма расходов, тыс. рублей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vMerge w:val="continue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финансовых затрат, в том числе: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128</w:t>
            </w:r>
            <w:r>
              <w:rPr>
                <w:color w:val="000000" w:themeColor="text1"/>
                <w:sz w:val="28"/>
                <w:szCs w:val="28"/>
              </w:rPr>
              <w:t xml:space="preserve">,</w:t>
            </w:r>
            <w:r>
              <w:rPr>
                <w:color w:val="000000" w:themeColor="text1"/>
                <w:sz w:val="28"/>
                <w:szCs w:val="28"/>
              </w:rPr>
              <w:t xml:space="preserve">2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  <w:t xml:space="preserve">71</w:t>
            </w:r>
            <w:r>
              <w:rPr>
                <w:color w:val="000000" w:themeColor="text1"/>
                <w:sz w:val="28"/>
                <w:szCs w:val="28"/>
              </w:rPr>
              <w:t xml:space="preserve">,</w:t>
            </w: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  <w:t xml:space="preserve">77,8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18</w:t>
            </w:r>
            <w:r>
              <w:rPr>
                <w:color w:val="000000" w:themeColor="text1"/>
                <w:sz w:val="28"/>
                <w:szCs w:val="28"/>
              </w:rPr>
              <w:t xml:space="preserve">0,0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18</w:t>
            </w:r>
            <w:r>
              <w:rPr>
                <w:color w:val="000000" w:themeColor="text1"/>
                <w:sz w:val="28"/>
                <w:szCs w:val="28"/>
              </w:rPr>
              <w:t xml:space="preserve">0,0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8</w:t>
            </w:r>
            <w:r>
              <w:rPr>
                <w:color w:val="000000" w:themeColor="text1"/>
                <w:sz w:val="28"/>
                <w:szCs w:val="28"/>
              </w:rPr>
              <w:t xml:space="preserve">3</w:t>
            </w:r>
            <w:r>
              <w:rPr>
                <w:color w:val="000000" w:themeColor="text1"/>
                <w:sz w:val="28"/>
                <w:szCs w:val="28"/>
              </w:rPr>
              <w:t xml:space="preserve">7,</w:t>
            </w: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бюджета городского округа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128</w:t>
            </w:r>
            <w:r>
              <w:rPr>
                <w:color w:val="000000" w:themeColor="text1"/>
                <w:sz w:val="28"/>
                <w:szCs w:val="28"/>
              </w:rPr>
              <w:t xml:space="preserve">,</w:t>
            </w:r>
            <w:r>
              <w:rPr>
                <w:color w:val="000000" w:themeColor="text1"/>
                <w:sz w:val="28"/>
                <w:szCs w:val="28"/>
              </w:rPr>
              <w:t xml:space="preserve">2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171</w:t>
            </w:r>
            <w:r>
              <w:rPr>
                <w:color w:val="000000" w:themeColor="text1"/>
                <w:sz w:val="28"/>
                <w:szCs w:val="28"/>
              </w:rPr>
              <w:t xml:space="preserve">,</w:t>
            </w: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  <w:t xml:space="preserve">77,8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18</w:t>
            </w:r>
            <w:r>
              <w:rPr>
                <w:color w:val="000000" w:themeColor="text1"/>
                <w:sz w:val="28"/>
                <w:szCs w:val="28"/>
              </w:rPr>
              <w:t xml:space="preserve">0,0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  <w:t xml:space="preserve">8</w:t>
            </w:r>
            <w:r>
              <w:rPr>
                <w:color w:val="000000" w:themeColor="text1"/>
                <w:sz w:val="28"/>
                <w:szCs w:val="28"/>
              </w:rPr>
              <w:t xml:space="preserve">0,0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83</w:t>
            </w:r>
            <w:r>
              <w:rPr>
                <w:color w:val="000000" w:themeColor="text1"/>
                <w:sz w:val="28"/>
                <w:szCs w:val="28"/>
              </w:rPr>
              <w:t xml:space="preserve">7,</w:t>
            </w: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краевого бюджета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федерального бюджета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Капитальные вложения, в том числе: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бюджета городского округа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краевого бюджета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федерального бюджета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Прочие расходы, в том числе: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128,2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  <w:t xml:space="preserve">71</w:t>
            </w:r>
            <w:r>
              <w:rPr>
                <w:color w:val="000000" w:themeColor="text1"/>
                <w:sz w:val="28"/>
                <w:szCs w:val="28"/>
              </w:rPr>
              <w:t xml:space="preserve">,</w:t>
            </w: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  <w:t xml:space="preserve">77,8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18</w:t>
            </w:r>
            <w:r>
              <w:rPr>
                <w:color w:val="000000" w:themeColor="text1"/>
                <w:sz w:val="28"/>
                <w:szCs w:val="28"/>
              </w:rPr>
              <w:t xml:space="preserve">0,0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  <w:t xml:space="preserve">8</w:t>
            </w:r>
            <w:r>
              <w:rPr>
                <w:color w:val="000000" w:themeColor="text1"/>
                <w:sz w:val="28"/>
                <w:szCs w:val="28"/>
              </w:rPr>
              <w:t xml:space="preserve">0,0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8</w:t>
            </w:r>
            <w:r>
              <w:rPr>
                <w:color w:val="000000" w:themeColor="text1"/>
                <w:sz w:val="28"/>
                <w:szCs w:val="28"/>
              </w:rPr>
              <w:t xml:space="preserve">3</w:t>
            </w:r>
            <w:r>
              <w:rPr>
                <w:color w:val="000000" w:themeColor="text1"/>
                <w:sz w:val="28"/>
                <w:szCs w:val="28"/>
              </w:rPr>
              <w:t xml:space="preserve">7,</w:t>
            </w: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бюджета городского округа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128,2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  <w:t xml:space="preserve">71</w:t>
            </w:r>
            <w:r>
              <w:rPr>
                <w:color w:val="000000" w:themeColor="text1"/>
                <w:sz w:val="28"/>
                <w:szCs w:val="28"/>
              </w:rPr>
              <w:t xml:space="preserve">,</w:t>
            </w: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  <w:t xml:space="preserve">77,8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18</w:t>
            </w:r>
            <w:r>
              <w:rPr>
                <w:color w:val="000000" w:themeColor="text1"/>
                <w:sz w:val="28"/>
                <w:szCs w:val="28"/>
              </w:rPr>
              <w:t xml:space="preserve">0,0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</w:t>
            </w:r>
            <w:r>
              <w:rPr>
                <w:color w:val="000000" w:themeColor="text1"/>
                <w:sz w:val="28"/>
                <w:szCs w:val="28"/>
              </w:rPr>
              <w:t xml:space="preserve">8</w:t>
            </w:r>
            <w:r>
              <w:rPr>
                <w:color w:val="000000" w:themeColor="text1"/>
                <w:sz w:val="28"/>
                <w:szCs w:val="28"/>
              </w:rPr>
              <w:t xml:space="preserve">0,0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83</w:t>
            </w:r>
            <w:r>
              <w:rPr>
                <w:color w:val="000000" w:themeColor="text1"/>
                <w:sz w:val="28"/>
                <w:szCs w:val="28"/>
              </w:rPr>
              <w:t xml:space="preserve">7,1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краевого бюджета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3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федерального бюджета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5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740"/>
              <w:pBdr/>
              <w:spacing/>
              <w: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740"/>
        <w:pBdr/>
        <w:spacing/>
        <w: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40"/>
        <w:pBdr/>
        <w:spacing/>
        <w:ind/>
        <w:rPr/>
      </w:pPr>
      <w:r/>
      <w:r/>
    </w:p>
    <w:p>
      <w:pPr>
        <w:pBdr/>
        <w:spacing/>
        <w:ind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Bdr/>
        <w:spacing/>
        <w:ind/>
        <w:rPr/>
      </w:pPr>
      <w:r/>
      <w:r/>
    </w:p>
    <w:sectPr>
      <w:footnotePr/>
      <w:endnotePr/>
      <w:type w:val="nextPage"/>
      <w:pgSz w:h="16840" w:orient="portrait" w:w="11907"/>
      <w:pgMar w:top="1134" w:right="567" w:bottom="1134" w:left="1701" w:header="709" w:footer="709" w:gutter="0"/>
      <w:pgNumType w:start="24"/>
      <w:cols w:num="1" w:sep="0" w:space="720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/>
        <w:ind/>
        <w:rPr/>
      </w:pPr>
      <w:r>
        <w:separator/>
      </w:r>
      <w:r/>
    </w:p>
  </w:endnote>
  <w:endnote w:type="continuationSeparator" w:id="0">
    <w:p>
      <w:pPr>
        <w:pBdr/>
        <w:spacing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/>
        <w:ind/>
        <w:rPr/>
      </w:pPr>
      <w:r>
        <w:separator/>
      </w:r>
      <w:r/>
    </w:p>
  </w:footnote>
  <w:footnote w:type="continuationSeparator" w:id="0">
    <w:p>
      <w:pPr>
        <w:pBdr/>
        <w:spacing/>
        <w:ind/>
        <w:rPr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46"/>
      <w:pBdr/>
      <w:spacing/>
      <w:ind/>
      <w:jc w:val="right"/>
      <w:rPr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lvl w:ilvl="0">
      <w:isLgl w:val="false"/>
      <w:lvlJc w:val="left"/>
      <w:lvlText w:val="%1."/>
      <w:numFmt w:val="decimal"/>
      <w:pPr>
        <w:pBdr/>
        <w:spacing/>
        <w:ind w:hanging="360" w:left="644"/>
      </w:pPr>
      <w:rPr>
        <w:rFonts w:hint="default" w:cs="Times New Roman"/>
      </w:rPr>
      <w:start w:val="1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>
        <w:rFonts w:cs="Times New Roman"/>
      </w:rPr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>
        <w:rFonts w:cs="Times New Roman"/>
      </w:rPr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>
        <w:rFonts w:cs="Times New Roman"/>
      </w:rPr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>
        <w:rFonts w:cs="Times New Roman"/>
      </w:rPr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>
        <w:rFonts w:cs="Times New Roman"/>
      </w:rPr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>
        <w:rFonts w:cs="Times New Roman"/>
      </w:rPr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>
        <w:rFonts w:cs="Times New Roman"/>
      </w:rPr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>
        <w:rFonts w:cs="Times New Roman"/>
      </w:rPr>
      <w:start w:val="1"/>
      <w:suff w:val="tab"/>
    </w:lvl>
  </w:abstractNum>
  <w:abstractNum w:abstractNumId="1">
    <w:lvl w:ilvl="0">
      <w:isLgl w:val="false"/>
      <w:lvlJc w:val="left"/>
      <w:lvlText w:val="%1)"/>
      <w:numFmt w:val="decimal"/>
      <w:pPr>
        <w:pBdr/>
        <w:tabs>
          <w:tab w:val="num" w:leader="none" w:pos="1080"/>
        </w:tabs>
        <w:spacing/>
        <w:ind w:hanging="360" w:left="1080"/>
      </w:pPr>
      <w:rPr>
        <w:rFonts w:cs="Times New Roman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eastAsia="Times New Roman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60"/>
      </w:pPr>
      <w:rPr>
        <w:rFonts w:hint="default" w:ascii="Wingdings" w:hAnsi="Wingdings" w:eastAsia="Times New Roman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80"/>
      </w:pPr>
      <w:rPr>
        <w:rFonts w:hint="default" w:ascii="Symbol" w:hAnsi="Symbol" w:eastAsia="Times New Roman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eastAsia="Times New Roman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20"/>
      </w:pPr>
      <w:rPr>
        <w:rFonts w:hint="default" w:ascii="Wingdings" w:hAnsi="Wingdings" w:eastAsia="Times New Roman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40"/>
      </w:pPr>
      <w:rPr>
        <w:rFonts w:hint="default" w:ascii="Symbol" w:hAnsi="Symbol" w:eastAsia="Times New Roman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eastAsia="Times New Roman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80"/>
      </w:pPr>
      <w:rPr>
        <w:rFonts w:hint="default" w:ascii="Wingdings" w:hAnsi="Wingdings" w:eastAsia="Times New Roman"/>
      </w:rPr>
      <w:start w:val="1"/>
      <w:suff w:val="tab"/>
    </w:lvl>
  </w:abstractNum>
  <w:abstractNum w:abstractNumId="2">
    <w:lvl w:ilvl="0">
      <w:isLgl w:val="false"/>
      <w:lvlJc w:val="left"/>
      <w:lvlText w:val="%1."/>
      <w:numFmt w:val="decimal"/>
      <w:pPr>
        <w:pBdr/>
        <w:spacing/>
        <w:ind w:hanging="360" w:left="360"/>
      </w:pPr>
      <w:rPr>
        <w:rFonts w:hint="default" w:cs="Times New Roman"/>
      </w:rPr>
      <w:start w:val="1"/>
      <w:suff w:val="tab"/>
    </w:lvl>
    <w:lvl w:ilvl="1">
      <w:isLgl w:val="false"/>
      <w:lvlJc w:val="left"/>
      <w:lvlText w:val="%1.%2."/>
      <w:numFmt w:val="decimal"/>
      <w:pPr>
        <w:pBdr/>
        <w:spacing/>
        <w:ind w:hanging="432" w:left="792"/>
      </w:pPr>
      <w:rPr>
        <w:rFonts w:cs="Times New Roman"/>
      </w:rPr>
      <w:start w:val="1"/>
      <w:suff w:val="tab"/>
    </w:lvl>
    <w:lvl w:ilvl="2">
      <w:isLgl w:val="false"/>
      <w:lvlJc w:val="left"/>
      <w:lvlText w:val="%1.%2.%3."/>
      <w:numFmt w:val="decimal"/>
      <w:pPr>
        <w:pBdr/>
        <w:spacing/>
        <w:ind w:hanging="504" w:left="1224"/>
      </w:pPr>
      <w:rPr>
        <w:rFonts w:cs="Times New Roman"/>
      </w:rPr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648" w:left="1728"/>
      </w:pPr>
      <w:rPr>
        <w:rFonts w:cs="Times New Roman"/>
      </w:rPr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792" w:left="2232"/>
      </w:pPr>
      <w:rPr>
        <w:rFonts w:cs="Times New Roman"/>
      </w:rPr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936" w:left="2736"/>
      </w:pPr>
      <w:rPr>
        <w:rFonts w:cs="Times New Roman"/>
      </w:rPr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080" w:left="3240"/>
      </w:pPr>
      <w:rPr>
        <w:rFonts w:cs="Times New Roman"/>
      </w:rPr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224" w:left="3744"/>
      </w:pPr>
      <w:rPr>
        <w:rFonts w:cs="Times New Roman"/>
      </w:rPr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4320"/>
      </w:pPr>
      <w:rPr>
        <w:rFonts w:cs="Times New Roman"/>
      </w:rPr>
      <w:start w:val="1"/>
      <w:suff w:val="tab"/>
    </w:lvl>
  </w:abstractNum>
  <w:abstractNum w:abstractNumId="3">
    <w:lvl w:ilvl="0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1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2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3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4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5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6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7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8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</w:abstractNum>
  <w:abstractNum w:abstractNumId="4">
    <w:lvl w:ilvl="0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1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2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3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4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5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6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7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8">
      <w:isLgl w:val="false"/>
      <w:lvlJc w:val="left"/>
      <w:lvlText w:val="3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</w:abstractNum>
  <w:abstractNum w:abstractNumId="5">
    <w:lvl w:ilvl="0">
      <w:isLgl w:val="false"/>
      <w:lvlJc w:val="left"/>
      <w:lvlText w:val="%1)"/>
      <w:numFmt w:val="decimal"/>
      <w:pPr>
        <w:pBdr/>
        <w:spacing/>
        <w:ind w:hanging="360" w:left="720"/>
      </w:pPr>
      <w:rPr>
        <w:rFonts w:hint="default" w:cs="Times New Roman"/>
      </w:rPr>
      <w:start w:val="1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>
        <w:rFonts w:cs="Times New Roman"/>
      </w:rPr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>
        <w:rFonts w:cs="Times New Roman"/>
      </w:rPr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>
        <w:rFonts w:cs="Times New Roman"/>
      </w:rPr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>
        <w:rFonts w:cs="Times New Roman"/>
      </w:rPr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>
        <w:rFonts w:cs="Times New Roman"/>
      </w:rPr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>
        <w:rFonts w:cs="Times New Roman"/>
      </w:rPr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>
        <w:rFonts w:cs="Times New Roman"/>
      </w:rPr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>
        <w:rFonts w:cs="Times New Roman"/>
      </w:rPr>
      <w:start w:val="1"/>
      <w:suff w:val="tab"/>
    </w:lvl>
  </w:abstractNum>
  <w:abstractNum w:abstractNumId="6">
    <w:lvl w:ilvl="0">
      <w:isLgl w:val="false"/>
      <w:lvlJc w:val="left"/>
      <w:lvlText w:val="%1"/>
      <w:numFmt w:val="decimal"/>
      <w:pPr>
        <w:pBdr/>
        <w:spacing/>
        <w:ind w:hanging="375" w:left="375"/>
      </w:pPr>
      <w:rPr>
        <w:rFonts w:hint="default" w:cs="Times New Roman"/>
        <w:color w:val="000000"/>
      </w:rPr>
      <w:start w:val="4"/>
      <w:suff w:val="tab"/>
    </w:lvl>
    <w:lvl w:ilvl="1">
      <w:isLgl w:val="false"/>
      <w:lvlJc w:val="left"/>
      <w:lvlText w:val="%1.%2"/>
      <w:numFmt w:val="decimal"/>
      <w:pPr>
        <w:pBdr/>
        <w:spacing/>
        <w:ind w:hanging="375" w:left="375"/>
      </w:pPr>
      <w:rPr>
        <w:rFonts w:hint="default" w:cs="Times New Roman"/>
        <w:color w:val="000000"/>
      </w:rPr>
      <w:start w:val="1"/>
      <w:suff w:val="tab"/>
    </w:lvl>
    <w:lvl w:ilvl="2">
      <w:isLgl w:val="false"/>
      <w:lvlJc w:val="left"/>
      <w:lvlText w:val="%1.%2.%3"/>
      <w:numFmt w:val="decimal"/>
      <w:pPr>
        <w:pBdr/>
        <w:spacing/>
        <w:ind w:hanging="720" w:left="720"/>
      </w:pPr>
      <w:rPr>
        <w:rFonts w:hint="default" w:cs="Times New Roman"/>
        <w:strike w:val="0"/>
        <w:color w:val="000000"/>
      </w:rPr>
      <w:start w:val="1"/>
      <w:suff w:val="tab"/>
    </w:lvl>
    <w:lvl w:ilvl="3">
      <w:isLgl w:val="false"/>
      <w:lvlJc w:val="left"/>
      <w:lvlText w:val="%1.%2.%3.%4"/>
      <w:numFmt w:val="decimal"/>
      <w:pPr>
        <w:pBdr/>
        <w:spacing/>
        <w:ind w:hanging="1080" w:left="1080"/>
      </w:pPr>
      <w:rPr>
        <w:rFonts w:hint="default" w:cs="Times New Roman"/>
        <w:color w:val="000000"/>
      </w:rPr>
      <w:start w:val="1"/>
      <w:suff w:val="tab"/>
    </w:lvl>
    <w:lvl w:ilvl="4">
      <w:isLgl w:val="false"/>
      <w:lvlJc w:val="left"/>
      <w:lvlText w:val="%1.%2.%3.%4.%5"/>
      <w:numFmt w:val="decimal"/>
      <w:pPr>
        <w:pBdr/>
        <w:spacing/>
        <w:ind w:hanging="1080" w:left="1080"/>
      </w:pPr>
      <w:rPr>
        <w:rFonts w:hint="default" w:cs="Times New Roman"/>
        <w:color w:val="000000"/>
      </w:rPr>
      <w:start w:val="1"/>
      <w:suff w:val="tab"/>
    </w:lvl>
    <w:lvl w:ilvl="5">
      <w:isLgl w:val="false"/>
      <w:lvlJc w:val="left"/>
      <w:lvlText w:val="%1.%2.%3.%4.%5.%6"/>
      <w:numFmt w:val="decimal"/>
      <w:pPr>
        <w:pBdr/>
        <w:spacing/>
        <w:ind w:hanging="1440" w:left="1440"/>
      </w:pPr>
      <w:rPr>
        <w:rFonts w:hint="default" w:cs="Times New Roman"/>
        <w:color w:val="000000"/>
      </w:rPr>
      <w:start w:val="1"/>
      <w:suff w:val="tab"/>
    </w:lvl>
    <w:lvl w:ilvl="6">
      <w:isLgl w:val="false"/>
      <w:lvlJc w:val="left"/>
      <w:lvlText w:val="%1.%2.%3.%4.%5.%6.%7"/>
      <w:numFmt w:val="decimal"/>
      <w:pPr>
        <w:pBdr/>
        <w:spacing/>
        <w:ind w:hanging="1440" w:left="1440"/>
      </w:pPr>
      <w:rPr>
        <w:rFonts w:hint="default" w:cs="Times New Roman"/>
        <w:color w:val="000000"/>
      </w:rPr>
      <w:start w:val="1"/>
      <w:suff w:val="tab"/>
    </w:lvl>
    <w:lvl w:ilvl="7">
      <w:isLgl w:val="false"/>
      <w:lvlJc w:val="left"/>
      <w:lvlText w:val="%1.%2.%3.%4.%5.%6.%7.%8"/>
      <w:numFmt w:val="decimal"/>
      <w:pPr>
        <w:pBdr/>
        <w:spacing/>
        <w:ind w:hanging="1800" w:left="1800"/>
      </w:pPr>
      <w:rPr>
        <w:rFonts w:hint="default" w:cs="Times New Roman"/>
        <w:color w:val="000000"/>
      </w:rPr>
      <w:start w:val="1"/>
      <w:suff w:val="tab"/>
    </w:lvl>
    <w:lvl w:ilvl="8">
      <w:isLgl w:val="false"/>
      <w:lvlJc w:val="left"/>
      <w:lvlText w:val="%1.%2.%3.%4.%5.%6.%7.%8.%9"/>
      <w:numFmt w:val="decimal"/>
      <w:pPr>
        <w:pBdr/>
        <w:spacing/>
        <w:ind w:hanging="2160" w:left="2160"/>
      </w:pPr>
      <w:rPr>
        <w:rFonts w:hint="default" w:cs="Times New Roman"/>
        <w:color w:val="000000"/>
      </w:rPr>
      <w:start w:val="1"/>
      <w:suff w:val="tab"/>
    </w:lvl>
  </w:abstractNum>
  <w:abstractNum w:abstractNumId="7">
    <w:lvl w:ilvl="0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1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2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3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4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5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6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7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8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</w:abstractNum>
  <w:abstractNum w:abstractNumId="8">
    <w:lvl w:ilvl="0">
      <w:isLgl w:val="false"/>
      <w:lvlJc w:val="left"/>
      <w:lvlText w:val="%1."/>
      <w:numFmt w:val="decimal"/>
      <w:pPr>
        <w:pBdr/>
        <w:tabs>
          <w:tab w:val="num" w:leader="none" w:pos="720"/>
        </w:tabs>
        <w:spacing/>
        <w:ind w:hanging="360" w:left="720"/>
      </w:pPr>
      <w:rPr>
        <w:rFonts w:hint="default" w:cs="Times New Roman"/>
        <w:color w:val="000000"/>
      </w:rPr>
      <w:start w:val="2"/>
      <w:suff w:val="tab"/>
    </w:lvl>
    <w:lvl w:ilvl="1">
      <w:isLgl w:val="true"/>
      <w:lvlJc w:val="left"/>
      <w:lvlText w:val="%1.%2."/>
      <w:numFmt w:val="decimal"/>
      <w:pPr>
        <w:pBdr/>
        <w:tabs>
          <w:tab w:val="num" w:leader="none" w:pos="862"/>
        </w:tabs>
        <w:spacing/>
        <w:ind w:hanging="720" w:left="862"/>
      </w:pPr>
      <w:rPr>
        <w:rFonts w:hint="default" w:cs="Times New Roman"/>
      </w:rPr>
      <w:start w:val="10"/>
      <w:suff w:val="tab"/>
    </w:lvl>
    <w:lvl w:ilvl="2">
      <w:isLgl w:val="true"/>
      <w:lvlJc w:val="left"/>
      <w:lvlText w:val="%1.%2.%3."/>
      <w:numFmt w:val="decimal"/>
      <w:pPr>
        <w:pBdr/>
        <w:tabs>
          <w:tab w:val="num" w:leader="none" w:pos="1512"/>
        </w:tabs>
        <w:spacing/>
        <w:ind w:hanging="720" w:left="1512"/>
      </w:pPr>
      <w:rPr>
        <w:rFonts w:hint="default" w:cs="Times New Roman"/>
      </w:rPr>
      <w:start w:val="1"/>
      <w:suff w:val="tab"/>
    </w:lvl>
    <w:lvl w:ilvl="3">
      <w:isLgl w:val="true"/>
      <w:lvlJc w:val="left"/>
      <w:lvlText w:val="%1.%2.%3.%4."/>
      <w:numFmt w:val="decimal"/>
      <w:pPr>
        <w:pBdr/>
        <w:tabs>
          <w:tab w:val="num" w:leader="none" w:pos="2088"/>
        </w:tabs>
        <w:spacing/>
        <w:ind w:hanging="1080" w:left="2088"/>
      </w:pPr>
      <w:rPr>
        <w:rFonts w:hint="default" w:cs="Times New Roman"/>
      </w:rPr>
      <w:start w:val="1"/>
      <w:suff w:val="tab"/>
    </w:lvl>
    <w:lvl w:ilvl="4">
      <w:isLgl w:val="true"/>
      <w:lvlJc w:val="left"/>
      <w:lvlText w:val="%1.%2.%3.%4.%5."/>
      <w:numFmt w:val="decimal"/>
      <w:pPr>
        <w:pBdr/>
        <w:tabs>
          <w:tab w:val="num" w:leader="none" w:pos="2304"/>
        </w:tabs>
        <w:spacing/>
        <w:ind w:hanging="1080" w:left="2304"/>
      </w:pPr>
      <w:rPr>
        <w:rFonts w:hint="default" w:cs="Times New Roman"/>
      </w:rPr>
      <w:start w:val="1"/>
      <w:suff w:val="tab"/>
    </w:lvl>
    <w:lvl w:ilvl="5">
      <w:isLgl w:val="true"/>
      <w:lvlJc w:val="left"/>
      <w:lvlText w:val="%1.%2.%3.%4.%5.%6."/>
      <w:numFmt w:val="decimal"/>
      <w:pPr>
        <w:pBdr/>
        <w:tabs>
          <w:tab w:val="num" w:leader="none" w:pos="2880"/>
        </w:tabs>
        <w:spacing/>
        <w:ind w:hanging="1440" w:left="2880"/>
      </w:pPr>
      <w:rPr>
        <w:rFonts w:hint="default" w:cs="Times New Roman"/>
      </w:rPr>
      <w:start w:val="1"/>
      <w:suff w:val="tab"/>
    </w:lvl>
    <w:lvl w:ilvl="6">
      <w:isLgl w:val="true"/>
      <w:lvlJc w:val="left"/>
      <w:lvlText w:val="%1.%2.%3.%4.%5.%6.%7."/>
      <w:numFmt w:val="decimal"/>
      <w:pPr>
        <w:pBdr/>
        <w:tabs>
          <w:tab w:val="num" w:leader="none" w:pos="3096"/>
        </w:tabs>
        <w:spacing/>
        <w:ind w:hanging="1440" w:left="3096"/>
      </w:pPr>
      <w:rPr>
        <w:rFonts w:hint="default" w:cs="Times New Roman"/>
      </w:rPr>
      <w:start w:val="1"/>
      <w:suff w:val="tab"/>
    </w:lvl>
    <w:lvl w:ilvl="7">
      <w:isLgl w:val="true"/>
      <w:lvlJc w:val="left"/>
      <w:lvlText w:val="%1.%2.%3.%4.%5.%6.%7.%8."/>
      <w:numFmt w:val="decimal"/>
      <w:pPr>
        <w:pBdr/>
        <w:tabs>
          <w:tab w:val="num" w:leader="none" w:pos="3672"/>
        </w:tabs>
        <w:spacing/>
        <w:ind w:hanging="1800" w:left="3672"/>
      </w:pPr>
      <w:rPr>
        <w:rFonts w:hint="default" w:cs="Times New Roman"/>
      </w:rPr>
      <w:start w:val="1"/>
      <w:suff w:val="tab"/>
    </w:lvl>
    <w:lvl w:ilvl="8">
      <w:isLgl w:val="true"/>
      <w:lvlJc w:val="left"/>
      <w:lvlText w:val="%1.%2.%3.%4.%5.%6.%7.%8.%9."/>
      <w:numFmt w:val="decimal"/>
      <w:pPr>
        <w:pBdr/>
        <w:tabs>
          <w:tab w:val="num" w:leader="none" w:pos="3888"/>
        </w:tabs>
        <w:spacing/>
        <w:ind w:hanging="1800" w:left="3888"/>
      </w:pPr>
      <w:rPr>
        <w:rFonts w:hint="default" w:cs="Times New Roman"/>
      </w:rPr>
      <w:start w:val="1"/>
      <w:suff w:val="tab"/>
    </w:lvl>
  </w:abstractNum>
  <w:abstractNum w:abstractNumId="9">
    <w:lvl w:ilvl="0">
      <w:isLgl w:val="false"/>
      <w:lvlJc w:val="left"/>
      <w:lvlText w:val="%1."/>
      <w:numFmt w:val="decimal"/>
      <w:pPr>
        <w:pBdr/>
        <w:spacing/>
        <w:ind w:hanging="360" w:left="360"/>
      </w:pPr>
      <w:rPr>
        <w:rFonts w:hint="default" w:cs="Times New Roman"/>
      </w:rPr>
      <w:start w:val="1"/>
      <w:suff w:val="tab"/>
    </w:lvl>
    <w:lvl w:ilvl="1">
      <w:isLgl w:val="false"/>
      <w:lvlJc w:val="left"/>
      <w:lvlText w:val="%1.%2."/>
      <w:numFmt w:val="decimal"/>
      <w:pPr>
        <w:pBdr/>
        <w:spacing/>
        <w:ind w:hanging="432" w:left="792"/>
      </w:pPr>
      <w:rPr>
        <w:rFonts w:cs="Times New Roman"/>
      </w:rPr>
      <w:start w:val="1"/>
      <w:suff w:val="tab"/>
    </w:lvl>
    <w:lvl w:ilvl="2">
      <w:isLgl w:val="false"/>
      <w:lvlJc w:val="left"/>
      <w:lvlText w:val="%1.%2.%3."/>
      <w:numFmt w:val="decimal"/>
      <w:pPr>
        <w:pBdr/>
        <w:spacing/>
        <w:ind w:hanging="504" w:left="1224"/>
      </w:pPr>
      <w:rPr>
        <w:rFonts w:cs="Times New Roman"/>
      </w:rPr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648" w:left="1728"/>
      </w:pPr>
      <w:rPr>
        <w:rFonts w:cs="Times New Roman"/>
      </w:rPr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792" w:left="2232"/>
      </w:pPr>
      <w:rPr>
        <w:rFonts w:cs="Times New Roman"/>
      </w:rPr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936" w:left="2736"/>
      </w:pPr>
      <w:rPr>
        <w:rFonts w:cs="Times New Roman"/>
      </w:rPr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080" w:left="3240"/>
      </w:pPr>
      <w:rPr>
        <w:rFonts w:cs="Times New Roman"/>
      </w:rPr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224" w:left="3744"/>
      </w:pPr>
      <w:rPr>
        <w:rFonts w:cs="Times New Roman"/>
      </w:rPr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4320"/>
      </w:pPr>
      <w:rPr>
        <w:rFonts w:cs="Times New Roman"/>
      </w:rPr>
      <w:start w:val="1"/>
      <w:suff w:val="tab"/>
    </w:lvl>
  </w:abstractNum>
  <w:abstractNum w:abstractNumId="10">
    <w:lvl w:ilvl="0">
      <w:isLgl w:val="false"/>
      <w:lvlJc w:val="left"/>
      <w:lvlText w:val="%1."/>
      <w:numFmt w:val="decimal"/>
      <w:pPr>
        <w:pBdr/>
        <w:tabs>
          <w:tab w:val="num" w:leader="none" w:pos="720"/>
        </w:tabs>
        <w:spacing/>
        <w:ind w:hanging="360" w:left="720"/>
      </w:pPr>
      <w:rPr>
        <w:rFonts w:cs="Times New Roman"/>
      </w:rPr>
      <w:start w:val="1"/>
      <w:suff w:val="tab"/>
    </w:lvl>
    <w:lvl w:ilvl="1">
      <w:isLgl w:val="false"/>
      <w:lvlJc w:val="left"/>
      <w:lvlText w:val="%2."/>
      <w:numFmt w:val="lowerLetter"/>
      <w:pPr>
        <w:pBdr/>
        <w:tabs>
          <w:tab w:val="num" w:leader="none" w:pos="1440"/>
        </w:tabs>
        <w:spacing/>
        <w:ind w:hanging="360" w:left="1440"/>
      </w:pPr>
      <w:rPr>
        <w:rFonts w:cs="Times New Roman"/>
      </w:rPr>
      <w:start w:val="1"/>
      <w:suff w:val="tab"/>
    </w:lvl>
    <w:lvl w:ilvl="2">
      <w:isLgl w:val="false"/>
      <w:lvlJc w:val="right"/>
      <w:lvlText w:val="%3."/>
      <w:numFmt w:val="lowerRoman"/>
      <w:pPr>
        <w:pBdr/>
        <w:tabs>
          <w:tab w:val="num" w:leader="none" w:pos="2160"/>
        </w:tabs>
        <w:spacing/>
        <w:ind w:hanging="180" w:left="2160"/>
      </w:pPr>
      <w:rPr>
        <w:rFonts w:cs="Times New Roman"/>
      </w:rPr>
      <w:start w:val="1"/>
      <w:suff w:val="tab"/>
    </w:lvl>
    <w:lvl w:ilvl="3">
      <w:isLgl w:val="false"/>
      <w:lvlJc w:val="left"/>
      <w:lvlText w:val="%4."/>
      <w:numFmt w:val="decimal"/>
      <w:pPr>
        <w:pBdr/>
        <w:tabs>
          <w:tab w:val="num" w:leader="none" w:pos="2880"/>
        </w:tabs>
        <w:spacing/>
        <w:ind w:hanging="360" w:left="2880"/>
      </w:pPr>
      <w:rPr>
        <w:rFonts w:cs="Times New Roman"/>
      </w:rPr>
      <w:start w:val="1"/>
      <w:suff w:val="tab"/>
    </w:lvl>
    <w:lvl w:ilvl="4">
      <w:isLgl w:val="false"/>
      <w:lvlJc w:val="left"/>
      <w:lvlText w:val="%5."/>
      <w:numFmt w:val="lowerLetter"/>
      <w:pPr>
        <w:pBdr/>
        <w:tabs>
          <w:tab w:val="num" w:leader="none" w:pos="3600"/>
        </w:tabs>
        <w:spacing/>
        <w:ind w:hanging="360" w:left="3600"/>
      </w:pPr>
      <w:rPr>
        <w:rFonts w:cs="Times New Roman"/>
      </w:rPr>
      <w:start w:val="1"/>
      <w:suff w:val="tab"/>
    </w:lvl>
    <w:lvl w:ilvl="5">
      <w:isLgl w:val="false"/>
      <w:lvlJc w:val="right"/>
      <w:lvlText w:val="%6."/>
      <w:numFmt w:val="lowerRoman"/>
      <w:pPr>
        <w:pBdr/>
        <w:tabs>
          <w:tab w:val="num" w:leader="none" w:pos="4320"/>
        </w:tabs>
        <w:spacing/>
        <w:ind w:hanging="180" w:left="4320"/>
      </w:pPr>
      <w:rPr>
        <w:rFonts w:cs="Times New Roman"/>
      </w:rPr>
      <w:start w:val="1"/>
      <w:suff w:val="tab"/>
    </w:lvl>
    <w:lvl w:ilvl="6">
      <w:isLgl w:val="false"/>
      <w:lvlJc w:val="left"/>
      <w:lvlText w:val="%7."/>
      <w:numFmt w:val="decimal"/>
      <w:pPr>
        <w:pBdr/>
        <w:tabs>
          <w:tab w:val="num" w:leader="none" w:pos="5040"/>
        </w:tabs>
        <w:spacing/>
        <w:ind w:hanging="360" w:left="5040"/>
      </w:pPr>
      <w:rPr>
        <w:rFonts w:cs="Times New Roman"/>
      </w:rPr>
      <w:start w:val="1"/>
      <w:suff w:val="tab"/>
    </w:lvl>
    <w:lvl w:ilvl="7">
      <w:isLgl w:val="false"/>
      <w:lvlJc w:val="left"/>
      <w:lvlText w:val="%8."/>
      <w:numFmt w:val="lowerLetter"/>
      <w:pPr>
        <w:pBdr/>
        <w:tabs>
          <w:tab w:val="num" w:leader="none" w:pos="5760"/>
        </w:tabs>
        <w:spacing/>
        <w:ind w:hanging="360" w:left="5760"/>
      </w:pPr>
      <w:rPr>
        <w:rFonts w:cs="Times New Roman"/>
      </w:rPr>
      <w:start w:val="1"/>
      <w:suff w:val="tab"/>
    </w:lvl>
    <w:lvl w:ilvl="8">
      <w:isLgl w:val="false"/>
      <w:lvlJc w:val="right"/>
      <w:lvlText w:val="%9."/>
      <w:numFmt w:val="lowerRoman"/>
      <w:pPr>
        <w:pBdr/>
        <w:tabs>
          <w:tab w:val="num" w:leader="none" w:pos="6480"/>
        </w:tabs>
        <w:spacing/>
        <w:ind w:hanging="180" w:left="6480"/>
      </w:pPr>
      <w:rPr>
        <w:rFonts w:cs="Times New Roman"/>
      </w:rPr>
      <w:start w:val="1"/>
      <w:suff w:val="tab"/>
    </w:lvl>
  </w:abstractNum>
  <w:abstractNum w:abstractNumId="11">
    <w:lvl w:ilvl="0">
      <w:isLgl w:val="false"/>
      <w:lvlJc w:val="left"/>
      <w:lvlText w:val="%1."/>
      <w:numFmt w:val="decimal"/>
      <w:pPr>
        <w:pBdr/>
        <w:spacing/>
        <w:ind w:hanging="360" w:left="360"/>
      </w:pPr>
      <w:rPr>
        <w:rFonts w:hint="default" w:cs="Times New Roman"/>
      </w:rPr>
      <w:start w:val="1"/>
      <w:suff w:val="tab"/>
    </w:lvl>
    <w:lvl w:ilvl="1">
      <w:isLgl w:val="false"/>
      <w:lvlJc w:val="left"/>
      <w:lvlText w:val="%1.%2."/>
      <w:numFmt w:val="decimal"/>
      <w:pPr>
        <w:pBdr/>
        <w:spacing/>
        <w:ind w:hanging="432" w:left="792"/>
      </w:pPr>
      <w:rPr>
        <w:rFonts w:cs="Times New Roman"/>
      </w:rPr>
      <w:start w:val="1"/>
      <w:suff w:val="tab"/>
    </w:lvl>
    <w:lvl w:ilvl="2">
      <w:isLgl w:val="false"/>
      <w:lvlJc w:val="left"/>
      <w:lvlText w:val="%1.%2.%3."/>
      <w:numFmt w:val="decimal"/>
      <w:pPr>
        <w:pBdr/>
        <w:spacing/>
        <w:ind w:hanging="504" w:left="1224"/>
      </w:pPr>
      <w:rPr>
        <w:rFonts w:cs="Times New Roman"/>
      </w:rPr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648" w:left="1728"/>
      </w:pPr>
      <w:rPr>
        <w:rFonts w:cs="Times New Roman"/>
      </w:rPr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792" w:left="2232"/>
      </w:pPr>
      <w:rPr>
        <w:rFonts w:cs="Times New Roman"/>
      </w:rPr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936" w:left="2736"/>
      </w:pPr>
      <w:rPr>
        <w:rFonts w:cs="Times New Roman"/>
      </w:rPr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080" w:left="3240"/>
      </w:pPr>
      <w:rPr>
        <w:rFonts w:cs="Times New Roman"/>
      </w:rPr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224" w:left="3744"/>
      </w:pPr>
      <w:rPr>
        <w:rFonts w:cs="Times New Roman"/>
      </w:rPr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4320"/>
      </w:pPr>
      <w:rPr>
        <w:rFonts w:cs="Times New Roman"/>
      </w:rPr>
      <w:start w:val="1"/>
      <w:suff w:val="tab"/>
    </w:lvl>
  </w:abstractNum>
  <w:abstractNum w:abstractNumId="12">
    <w:lvl w:ilvl="0">
      <w:isLgl w:val="false"/>
      <w:lvlJc w:val="left"/>
      <w:lvlText w:val="%1"/>
      <w:numFmt w:val="decimal"/>
      <w:pPr>
        <w:pBdr/>
        <w:spacing/>
        <w:ind w:hanging="375" w:left="375"/>
      </w:pPr>
      <w:rPr>
        <w:rFonts w:hint="default" w:cs="Times New Roman"/>
        <w:color w:val="000000"/>
      </w:rPr>
      <w:start w:val="4"/>
      <w:suff w:val="tab"/>
    </w:lvl>
    <w:lvl w:ilvl="1">
      <w:isLgl w:val="false"/>
      <w:lvlJc w:val="left"/>
      <w:lvlText w:val="%1.%2"/>
      <w:numFmt w:val="decimal"/>
      <w:pPr>
        <w:pBdr/>
        <w:spacing/>
        <w:ind w:hanging="375" w:left="375"/>
      </w:pPr>
      <w:rPr>
        <w:rFonts w:hint="default" w:cs="Times New Roman"/>
        <w:color w:val="000000"/>
      </w:rPr>
      <w:start w:val="1"/>
      <w:suff w:val="tab"/>
    </w:lvl>
    <w:lvl w:ilvl="2">
      <w:isLgl w:val="false"/>
      <w:lvlJc w:val="left"/>
      <w:lvlText w:val="%1.%2.%3"/>
      <w:numFmt w:val="decimal"/>
      <w:pPr>
        <w:pBdr/>
        <w:spacing/>
        <w:ind w:hanging="720" w:left="720"/>
      </w:pPr>
      <w:rPr>
        <w:rFonts w:hint="default" w:cs="Times New Roman"/>
        <w:color w:val="000000"/>
      </w:rPr>
      <w:start w:val="1"/>
      <w:suff w:val="tab"/>
    </w:lvl>
    <w:lvl w:ilvl="3">
      <w:isLgl w:val="false"/>
      <w:lvlJc w:val="left"/>
      <w:lvlText w:val="%1.%2.%3.%4"/>
      <w:numFmt w:val="decimal"/>
      <w:pPr>
        <w:pBdr/>
        <w:spacing/>
        <w:ind w:hanging="1080" w:left="1080"/>
      </w:pPr>
      <w:rPr>
        <w:rFonts w:hint="default" w:cs="Times New Roman"/>
        <w:color w:val="000000"/>
      </w:rPr>
      <w:start w:val="1"/>
      <w:suff w:val="tab"/>
    </w:lvl>
    <w:lvl w:ilvl="4">
      <w:isLgl w:val="false"/>
      <w:lvlJc w:val="left"/>
      <w:lvlText w:val="%1.%2.%3.%4.%5"/>
      <w:numFmt w:val="decimal"/>
      <w:pPr>
        <w:pBdr/>
        <w:spacing/>
        <w:ind w:hanging="1080" w:left="1080"/>
      </w:pPr>
      <w:rPr>
        <w:rFonts w:hint="default" w:cs="Times New Roman"/>
        <w:color w:val="000000"/>
      </w:rPr>
      <w:start w:val="1"/>
      <w:suff w:val="tab"/>
    </w:lvl>
    <w:lvl w:ilvl="5">
      <w:isLgl w:val="false"/>
      <w:lvlJc w:val="left"/>
      <w:lvlText w:val="%1.%2.%3.%4.%5.%6"/>
      <w:numFmt w:val="decimal"/>
      <w:pPr>
        <w:pBdr/>
        <w:spacing/>
        <w:ind w:hanging="1440" w:left="1440"/>
      </w:pPr>
      <w:rPr>
        <w:rFonts w:hint="default" w:cs="Times New Roman"/>
        <w:color w:val="000000"/>
      </w:rPr>
      <w:start w:val="1"/>
      <w:suff w:val="tab"/>
    </w:lvl>
    <w:lvl w:ilvl="6">
      <w:isLgl w:val="false"/>
      <w:lvlJc w:val="left"/>
      <w:lvlText w:val="%1.%2.%3.%4.%5.%6.%7"/>
      <w:numFmt w:val="decimal"/>
      <w:pPr>
        <w:pBdr/>
        <w:spacing/>
        <w:ind w:hanging="1440" w:left="1440"/>
      </w:pPr>
      <w:rPr>
        <w:rFonts w:hint="default" w:cs="Times New Roman"/>
        <w:color w:val="000000"/>
      </w:rPr>
      <w:start w:val="1"/>
      <w:suff w:val="tab"/>
    </w:lvl>
    <w:lvl w:ilvl="7">
      <w:isLgl w:val="false"/>
      <w:lvlJc w:val="left"/>
      <w:lvlText w:val="%1.%2.%3.%4.%5.%6.%7.%8"/>
      <w:numFmt w:val="decimal"/>
      <w:pPr>
        <w:pBdr/>
        <w:spacing/>
        <w:ind w:hanging="1800" w:left="1800"/>
      </w:pPr>
      <w:rPr>
        <w:rFonts w:hint="default" w:cs="Times New Roman"/>
        <w:color w:val="000000"/>
      </w:rPr>
      <w:start w:val="1"/>
      <w:suff w:val="tab"/>
    </w:lvl>
    <w:lvl w:ilvl="8">
      <w:isLgl w:val="false"/>
      <w:lvlJc w:val="left"/>
      <w:lvlText w:val="%1.%2.%3.%4.%5.%6.%7.%8.%9"/>
      <w:numFmt w:val="decimal"/>
      <w:pPr>
        <w:pBdr/>
        <w:spacing/>
        <w:ind w:hanging="2160" w:left="2160"/>
      </w:pPr>
      <w:rPr>
        <w:rFonts w:hint="default" w:cs="Times New Roman"/>
        <w:color w:val="000000"/>
      </w:rPr>
      <w:start w:val="1"/>
      <w:suff w:val="tab"/>
    </w:lvl>
  </w:abstractNum>
  <w:abstractNum w:abstractNumId="13">
    <w:lvl w:ilvl="0">
      <w:isLgl w:val="false"/>
      <w:lvlJc w:val="left"/>
      <w:lvlText w:val="%1."/>
      <w:numFmt w:val="decimal"/>
      <w:pPr>
        <w:pBdr/>
        <w:tabs>
          <w:tab w:val="num" w:leader="none" w:pos="720"/>
        </w:tabs>
        <w:spacing/>
        <w:ind w:hanging="360" w:left="720"/>
      </w:pPr>
      <w:rPr>
        <w:rFonts w:hint="default" w:cs="Times New Roman"/>
        <w:color w:val="000000"/>
      </w:rPr>
      <w:start w:val="2"/>
      <w:suff w:val="tab"/>
    </w:lvl>
    <w:lvl w:ilvl="1">
      <w:isLgl w:val="true"/>
      <w:lvlJc w:val="left"/>
      <w:lvlText w:val="%1.%2."/>
      <w:numFmt w:val="decimal"/>
      <w:pPr>
        <w:pBdr/>
        <w:tabs>
          <w:tab w:val="num" w:leader="none" w:pos="862"/>
        </w:tabs>
        <w:spacing/>
        <w:ind w:hanging="720" w:left="862"/>
      </w:pPr>
      <w:rPr>
        <w:rFonts w:hint="default" w:cs="Times New Roman"/>
      </w:rPr>
      <w:start w:val="10"/>
      <w:suff w:val="tab"/>
    </w:lvl>
    <w:lvl w:ilvl="2">
      <w:isLgl w:val="true"/>
      <w:lvlJc w:val="left"/>
      <w:lvlText w:val="%1.%2.%3."/>
      <w:numFmt w:val="decimal"/>
      <w:pPr>
        <w:pBdr/>
        <w:tabs>
          <w:tab w:val="num" w:leader="none" w:pos="1512"/>
        </w:tabs>
        <w:spacing/>
        <w:ind w:hanging="720" w:left="1512"/>
      </w:pPr>
      <w:rPr>
        <w:rFonts w:hint="default" w:cs="Times New Roman"/>
      </w:rPr>
      <w:start w:val="1"/>
      <w:suff w:val="tab"/>
    </w:lvl>
    <w:lvl w:ilvl="3">
      <w:isLgl w:val="true"/>
      <w:lvlJc w:val="left"/>
      <w:lvlText w:val="%1.%2.%3.%4."/>
      <w:numFmt w:val="decimal"/>
      <w:pPr>
        <w:pBdr/>
        <w:tabs>
          <w:tab w:val="num" w:leader="none" w:pos="2088"/>
        </w:tabs>
        <w:spacing/>
        <w:ind w:hanging="1080" w:left="2088"/>
      </w:pPr>
      <w:rPr>
        <w:rFonts w:hint="default" w:cs="Times New Roman"/>
      </w:rPr>
      <w:start w:val="1"/>
      <w:suff w:val="tab"/>
    </w:lvl>
    <w:lvl w:ilvl="4">
      <w:isLgl w:val="true"/>
      <w:lvlJc w:val="left"/>
      <w:lvlText w:val="%1.%2.%3.%4.%5."/>
      <w:numFmt w:val="decimal"/>
      <w:pPr>
        <w:pBdr/>
        <w:tabs>
          <w:tab w:val="num" w:leader="none" w:pos="2304"/>
        </w:tabs>
        <w:spacing/>
        <w:ind w:hanging="1080" w:left="2304"/>
      </w:pPr>
      <w:rPr>
        <w:rFonts w:hint="default" w:cs="Times New Roman"/>
      </w:rPr>
      <w:start w:val="1"/>
      <w:suff w:val="tab"/>
    </w:lvl>
    <w:lvl w:ilvl="5">
      <w:isLgl w:val="true"/>
      <w:lvlJc w:val="left"/>
      <w:lvlText w:val="%1.%2.%3.%4.%5.%6."/>
      <w:numFmt w:val="decimal"/>
      <w:pPr>
        <w:pBdr/>
        <w:tabs>
          <w:tab w:val="num" w:leader="none" w:pos="2880"/>
        </w:tabs>
        <w:spacing/>
        <w:ind w:hanging="1440" w:left="2880"/>
      </w:pPr>
      <w:rPr>
        <w:rFonts w:hint="default" w:cs="Times New Roman"/>
      </w:rPr>
      <w:start w:val="1"/>
      <w:suff w:val="tab"/>
    </w:lvl>
    <w:lvl w:ilvl="6">
      <w:isLgl w:val="true"/>
      <w:lvlJc w:val="left"/>
      <w:lvlText w:val="%1.%2.%3.%4.%5.%6.%7."/>
      <w:numFmt w:val="decimal"/>
      <w:pPr>
        <w:pBdr/>
        <w:tabs>
          <w:tab w:val="num" w:leader="none" w:pos="3096"/>
        </w:tabs>
        <w:spacing/>
        <w:ind w:hanging="1440" w:left="3096"/>
      </w:pPr>
      <w:rPr>
        <w:rFonts w:hint="default" w:cs="Times New Roman"/>
      </w:rPr>
      <w:start w:val="1"/>
      <w:suff w:val="tab"/>
    </w:lvl>
    <w:lvl w:ilvl="7">
      <w:isLgl w:val="true"/>
      <w:lvlJc w:val="left"/>
      <w:lvlText w:val="%1.%2.%3.%4.%5.%6.%7.%8."/>
      <w:numFmt w:val="decimal"/>
      <w:pPr>
        <w:pBdr/>
        <w:tabs>
          <w:tab w:val="num" w:leader="none" w:pos="3672"/>
        </w:tabs>
        <w:spacing/>
        <w:ind w:hanging="1800" w:left="3672"/>
      </w:pPr>
      <w:rPr>
        <w:rFonts w:hint="default" w:cs="Times New Roman"/>
      </w:rPr>
      <w:start w:val="1"/>
      <w:suff w:val="tab"/>
    </w:lvl>
    <w:lvl w:ilvl="8">
      <w:isLgl w:val="true"/>
      <w:lvlJc w:val="left"/>
      <w:lvlText w:val="%1.%2.%3.%4.%5.%6.%7.%8.%9."/>
      <w:numFmt w:val="decimal"/>
      <w:pPr>
        <w:pBdr/>
        <w:tabs>
          <w:tab w:val="num" w:leader="none" w:pos="3888"/>
        </w:tabs>
        <w:spacing/>
        <w:ind w:hanging="1800" w:left="3888"/>
      </w:pPr>
      <w:rPr>
        <w:rFonts w:hint="default" w:cs="Times New Roman"/>
      </w:rPr>
      <w:start w:val="1"/>
      <w:suff w:val="tab"/>
    </w:lvl>
  </w:abstractNum>
  <w:abstractNum w:abstractNumId="14">
    <w:lvl w:ilvl="0">
      <w:isLgl w:val="false"/>
      <w:lvlJc w:val="left"/>
      <w:lvlText w:val="%1"/>
      <w:numFmt w:val="decimal"/>
      <w:pPr>
        <w:pBdr/>
        <w:spacing/>
        <w:ind w:hanging="375" w:left="375"/>
      </w:pPr>
      <w:rPr>
        <w:rFonts w:hint="default" w:cs="Times New Roman"/>
        <w:color w:val="000000"/>
      </w:rPr>
      <w:start w:val="4"/>
      <w:suff w:val="tab"/>
    </w:lvl>
    <w:lvl w:ilvl="1">
      <w:isLgl w:val="false"/>
      <w:lvlJc w:val="left"/>
      <w:lvlText w:val="%1.%2"/>
      <w:numFmt w:val="decimal"/>
      <w:pPr>
        <w:pBdr/>
        <w:spacing/>
        <w:ind w:hanging="375" w:left="375"/>
      </w:pPr>
      <w:rPr>
        <w:rFonts w:hint="default" w:cs="Times New Roman"/>
        <w:color w:val="000000"/>
      </w:rPr>
      <w:start w:val="1"/>
      <w:suff w:val="tab"/>
    </w:lvl>
    <w:lvl w:ilvl="2">
      <w:isLgl w:val="false"/>
      <w:lvlJc w:val="left"/>
      <w:lvlText w:val="%1.%2.%3"/>
      <w:numFmt w:val="decimal"/>
      <w:pPr>
        <w:pBdr/>
        <w:spacing/>
        <w:ind w:hanging="720" w:left="720"/>
      </w:pPr>
      <w:rPr>
        <w:rFonts w:hint="default" w:cs="Times New Roman"/>
        <w:strike w:val="0"/>
        <w:color w:val="000000"/>
      </w:rPr>
      <w:start w:val="1"/>
      <w:suff w:val="tab"/>
    </w:lvl>
    <w:lvl w:ilvl="3">
      <w:isLgl w:val="false"/>
      <w:lvlJc w:val="left"/>
      <w:lvlText w:val="%1.%2.%3.%4"/>
      <w:numFmt w:val="decimal"/>
      <w:pPr>
        <w:pBdr/>
        <w:spacing/>
        <w:ind w:hanging="1080" w:left="1080"/>
      </w:pPr>
      <w:rPr>
        <w:rFonts w:hint="default" w:cs="Times New Roman"/>
        <w:color w:val="000000"/>
      </w:rPr>
      <w:start w:val="1"/>
      <w:suff w:val="tab"/>
    </w:lvl>
    <w:lvl w:ilvl="4">
      <w:isLgl w:val="false"/>
      <w:lvlJc w:val="left"/>
      <w:lvlText w:val="%1.%2.%3.%4.%5"/>
      <w:numFmt w:val="decimal"/>
      <w:pPr>
        <w:pBdr/>
        <w:spacing/>
        <w:ind w:hanging="1080" w:left="1080"/>
      </w:pPr>
      <w:rPr>
        <w:rFonts w:hint="default" w:cs="Times New Roman"/>
        <w:color w:val="000000"/>
      </w:rPr>
      <w:start w:val="1"/>
      <w:suff w:val="tab"/>
    </w:lvl>
    <w:lvl w:ilvl="5">
      <w:isLgl w:val="false"/>
      <w:lvlJc w:val="left"/>
      <w:lvlText w:val="%1.%2.%3.%4.%5.%6"/>
      <w:numFmt w:val="decimal"/>
      <w:pPr>
        <w:pBdr/>
        <w:spacing/>
        <w:ind w:hanging="1440" w:left="1440"/>
      </w:pPr>
      <w:rPr>
        <w:rFonts w:hint="default" w:cs="Times New Roman"/>
        <w:color w:val="000000"/>
      </w:rPr>
      <w:start w:val="1"/>
      <w:suff w:val="tab"/>
    </w:lvl>
    <w:lvl w:ilvl="6">
      <w:isLgl w:val="false"/>
      <w:lvlJc w:val="left"/>
      <w:lvlText w:val="%1.%2.%3.%4.%5.%6.%7"/>
      <w:numFmt w:val="decimal"/>
      <w:pPr>
        <w:pBdr/>
        <w:spacing/>
        <w:ind w:hanging="1440" w:left="1440"/>
      </w:pPr>
      <w:rPr>
        <w:rFonts w:hint="default" w:cs="Times New Roman"/>
        <w:color w:val="000000"/>
      </w:rPr>
      <w:start w:val="1"/>
      <w:suff w:val="tab"/>
    </w:lvl>
    <w:lvl w:ilvl="7">
      <w:isLgl w:val="false"/>
      <w:lvlJc w:val="left"/>
      <w:lvlText w:val="%1.%2.%3.%4.%5.%6.%7.%8"/>
      <w:numFmt w:val="decimal"/>
      <w:pPr>
        <w:pBdr/>
        <w:spacing/>
        <w:ind w:hanging="1800" w:left="1800"/>
      </w:pPr>
      <w:rPr>
        <w:rFonts w:hint="default" w:cs="Times New Roman"/>
        <w:color w:val="000000"/>
      </w:rPr>
      <w:start w:val="1"/>
      <w:suff w:val="tab"/>
    </w:lvl>
    <w:lvl w:ilvl="8">
      <w:isLgl w:val="false"/>
      <w:lvlJc w:val="left"/>
      <w:lvlText w:val="%1.%2.%3.%4.%5.%6.%7.%8.%9"/>
      <w:numFmt w:val="decimal"/>
      <w:pPr>
        <w:pBdr/>
        <w:spacing/>
        <w:ind w:hanging="2160" w:left="2160"/>
      </w:pPr>
      <w:rPr>
        <w:rFonts w:hint="default" w:cs="Times New Roman"/>
        <w:color w:val="000000"/>
      </w:rPr>
      <w:start w:val="1"/>
      <w:suff w:val="tab"/>
    </w:lvl>
  </w:abstractNum>
  <w:abstractNum w:abstractNumId="15">
    <w:lvl w:ilvl="0">
      <w:isLgl w:val="false"/>
      <w:lvlJc w:val="left"/>
      <w:lvlText w:val="%1."/>
      <w:numFmt w:val="decimal"/>
      <w:pPr>
        <w:pBdr/>
        <w:tabs>
          <w:tab w:val="num" w:leader="none" w:pos="720"/>
        </w:tabs>
        <w:spacing/>
        <w:ind w:hanging="360" w:left="720"/>
      </w:pPr>
      <w:rPr>
        <w:rFonts w:cs="Times New Roman"/>
      </w:rPr>
      <w:start w:val="1"/>
      <w:suff w:val="tab"/>
    </w:lvl>
    <w:lvl w:ilvl="1">
      <w:isLgl w:val="false"/>
      <w:lvlJc w:val="left"/>
      <w:lvlText w:val="%2."/>
      <w:numFmt w:val="lowerLetter"/>
      <w:pPr>
        <w:pBdr/>
        <w:tabs>
          <w:tab w:val="num" w:leader="none" w:pos="1440"/>
        </w:tabs>
        <w:spacing/>
        <w:ind w:hanging="360" w:left="1440"/>
      </w:pPr>
      <w:rPr>
        <w:rFonts w:cs="Times New Roman"/>
      </w:rPr>
      <w:start w:val="1"/>
      <w:suff w:val="tab"/>
    </w:lvl>
    <w:lvl w:ilvl="2">
      <w:isLgl w:val="false"/>
      <w:lvlJc w:val="right"/>
      <w:lvlText w:val="%3."/>
      <w:numFmt w:val="lowerRoman"/>
      <w:pPr>
        <w:pBdr/>
        <w:tabs>
          <w:tab w:val="num" w:leader="none" w:pos="2160"/>
        </w:tabs>
        <w:spacing/>
        <w:ind w:hanging="180" w:left="2160"/>
      </w:pPr>
      <w:rPr>
        <w:rFonts w:cs="Times New Roman"/>
      </w:rPr>
      <w:start w:val="1"/>
      <w:suff w:val="tab"/>
    </w:lvl>
    <w:lvl w:ilvl="3">
      <w:isLgl w:val="false"/>
      <w:lvlJc w:val="left"/>
      <w:lvlText w:val="%4."/>
      <w:numFmt w:val="decimal"/>
      <w:pPr>
        <w:pBdr/>
        <w:tabs>
          <w:tab w:val="num" w:leader="none" w:pos="2880"/>
        </w:tabs>
        <w:spacing/>
        <w:ind w:hanging="360" w:left="2880"/>
      </w:pPr>
      <w:rPr>
        <w:rFonts w:cs="Times New Roman"/>
      </w:rPr>
      <w:start w:val="1"/>
      <w:suff w:val="tab"/>
    </w:lvl>
    <w:lvl w:ilvl="4">
      <w:isLgl w:val="false"/>
      <w:lvlJc w:val="left"/>
      <w:lvlText w:val="%5."/>
      <w:numFmt w:val="lowerLetter"/>
      <w:pPr>
        <w:pBdr/>
        <w:tabs>
          <w:tab w:val="num" w:leader="none" w:pos="3600"/>
        </w:tabs>
        <w:spacing/>
        <w:ind w:hanging="360" w:left="3600"/>
      </w:pPr>
      <w:rPr>
        <w:rFonts w:cs="Times New Roman"/>
      </w:rPr>
      <w:start w:val="1"/>
      <w:suff w:val="tab"/>
    </w:lvl>
    <w:lvl w:ilvl="5">
      <w:isLgl w:val="false"/>
      <w:lvlJc w:val="right"/>
      <w:lvlText w:val="%6."/>
      <w:numFmt w:val="lowerRoman"/>
      <w:pPr>
        <w:pBdr/>
        <w:tabs>
          <w:tab w:val="num" w:leader="none" w:pos="4320"/>
        </w:tabs>
        <w:spacing/>
        <w:ind w:hanging="180" w:left="4320"/>
      </w:pPr>
      <w:rPr>
        <w:rFonts w:cs="Times New Roman"/>
      </w:rPr>
      <w:start w:val="1"/>
      <w:suff w:val="tab"/>
    </w:lvl>
    <w:lvl w:ilvl="6">
      <w:isLgl w:val="false"/>
      <w:lvlJc w:val="left"/>
      <w:lvlText w:val="%7."/>
      <w:numFmt w:val="decimal"/>
      <w:pPr>
        <w:pBdr/>
        <w:tabs>
          <w:tab w:val="num" w:leader="none" w:pos="5040"/>
        </w:tabs>
        <w:spacing/>
        <w:ind w:hanging="360" w:left="5040"/>
      </w:pPr>
      <w:rPr>
        <w:rFonts w:cs="Times New Roman"/>
      </w:rPr>
      <w:start w:val="1"/>
      <w:suff w:val="tab"/>
    </w:lvl>
    <w:lvl w:ilvl="7">
      <w:isLgl w:val="false"/>
      <w:lvlJc w:val="left"/>
      <w:lvlText w:val="%8."/>
      <w:numFmt w:val="lowerLetter"/>
      <w:pPr>
        <w:pBdr/>
        <w:tabs>
          <w:tab w:val="num" w:leader="none" w:pos="5760"/>
        </w:tabs>
        <w:spacing/>
        <w:ind w:hanging="360" w:left="5760"/>
      </w:pPr>
      <w:rPr>
        <w:rFonts w:cs="Times New Roman"/>
      </w:rPr>
      <w:start w:val="1"/>
      <w:suff w:val="tab"/>
    </w:lvl>
    <w:lvl w:ilvl="8">
      <w:isLgl w:val="false"/>
      <w:lvlJc w:val="right"/>
      <w:lvlText w:val="%9."/>
      <w:numFmt w:val="lowerRoman"/>
      <w:pPr>
        <w:pBdr/>
        <w:tabs>
          <w:tab w:val="num" w:leader="none" w:pos="6480"/>
        </w:tabs>
        <w:spacing/>
        <w:ind w:hanging="180" w:left="6480"/>
      </w:pPr>
      <w:rPr>
        <w:rFonts w:cs="Times New Roman"/>
      </w:rPr>
      <w:start w:val="1"/>
      <w:suff w:val="tab"/>
    </w:lvl>
  </w:abstractNum>
  <w:abstractNum w:abstractNumId="16">
    <w:lvl w:ilvl="0">
      <w:isLgl w:val="false"/>
      <w:lvlJc w:val="left"/>
      <w:lvlText w:val="%1."/>
      <w:numFmt w:val="decimal"/>
      <w:pPr>
        <w:pBdr/>
        <w:spacing/>
        <w:ind w:hanging="450" w:left="450"/>
      </w:pPr>
      <w:rPr>
        <w:rFonts w:hint="default" w:cs="Times New Roman"/>
      </w:rPr>
      <w:start w:val="3"/>
      <w:suff w:val="tab"/>
    </w:lvl>
    <w:lvl w:ilvl="1">
      <w:isLgl w:val="false"/>
      <w:lvlJc w:val="left"/>
      <w:lvlText w:val="%1.%2."/>
      <w:numFmt w:val="decimal"/>
      <w:pPr>
        <w:pBdr/>
        <w:spacing/>
        <w:ind w:hanging="720" w:left="1429"/>
      </w:pPr>
      <w:rPr>
        <w:rFonts w:hint="default" w:cs="Times New Roman"/>
      </w:rPr>
      <w:start w:val="6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2138"/>
      </w:pPr>
      <w:rPr>
        <w:rFonts w:hint="default" w:cs="Times New Roman"/>
      </w:rPr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1080" w:left="3207"/>
      </w:pPr>
      <w:rPr>
        <w:rFonts w:hint="default" w:cs="Times New Roman"/>
      </w:rPr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3916"/>
      </w:pPr>
      <w:rPr>
        <w:rFonts w:hint="default" w:cs="Times New Roman"/>
      </w:rPr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440" w:left="4985"/>
      </w:pPr>
      <w:rPr>
        <w:rFonts w:hint="default" w:cs="Times New Roman"/>
      </w:rPr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800" w:left="6054"/>
      </w:pPr>
      <w:rPr>
        <w:rFonts w:hint="default" w:cs="Times New Roman"/>
      </w:rPr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800" w:left="6763"/>
      </w:pPr>
      <w:rPr>
        <w:rFonts w:hint="default" w:cs="Times New Roman"/>
      </w:rPr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2160" w:left="7832"/>
      </w:pPr>
      <w:rPr>
        <w:rFonts w:hint="default" w:cs="Times New Roman"/>
      </w:rPr>
      <w:start w:val="1"/>
      <w:suff w:val="tab"/>
    </w:lvl>
  </w:abstractNum>
  <w:abstractNum w:abstractNumId="17">
    <w:lvl w:ilvl="0">
      <w:isLgl w:val="false"/>
      <w:lvlJc w:val="left"/>
      <w:lvlText w:val="%1."/>
      <w:numFmt w:val="decimal"/>
      <w:pPr>
        <w:pBdr/>
        <w:tabs>
          <w:tab w:val="num" w:leader="none" w:pos="720"/>
        </w:tabs>
        <w:spacing/>
        <w:ind w:hanging="360" w:left="720"/>
      </w:pPr>
      <w:rPr>
        <w:rFonts w:cs="Times New Roman"/>
      </w:rPr>
      <w:start w:val="1"/>
      <w:suff w:val="tab"/>
    </w:lvl>
    <w:lvl w:ilvl="1">
      <w:isLgl w:val="false"/>
      <w:lvlJc w:val="left"/>
      <w:lvlText w:val="%2."/>
      <w:numFmt w:val="lowerLetter"/>
      <w:pPr>
        <w:pBdr/>
        <w:tabs>
          <w:tab w:val="num" w:leader="none" w:pos="1440"/>
        </w:tabs>
        <w:spacing/>
        <w:ind w:hanging="360" w:left="1440"/>
      </w:pPr>
      <w:rPr>
        <w:rFonts w:cs="Times New Roman"/>
      </w:rPr>
      <w:start w:val="1"/>
      <w:suff w:val="tab"/>
    </w:lvl>
    <w:lvl w:ilvl="2">
      <w:isLgl w:val="false"/>
      <w:lvlJc w:val="right"/>
      <w:lvlText w:val="%3."/>
      <w:numFmt w:val="lowerRoman"/>
      <w:pPr>
        <w:pBdr/>
        <w:tabs>
          <w:tab w:val="num" w:leader="none" w:pos="2160"/>
        </w:tabs>
        <w:spacing/>
        <w:ind w:hanging="180" w:left="2160"/>
      </w:pPr>
      <w:rPr>
        <w:rFonts w:cs="Times New Roman"/>
      </w:rPr>
      <w:start w:val="1"/>
      <w:suff w:val="tab"/>
    </w:lvl>
    <w:lvl w:ilvl="3">
      <w:isLgl w:val="false"/>
      <w:lvlJc w:val="left"/>
      <w:lvlText w:val="%4."/>
      <w:numFmt w:val="decimal"/>
      <w:pPr>
        <w:pBdr/>
        <w:tabs>
          <w:tab w:val="num" w:leader="none" w:pos="2880"/>
        </w:tabs>
        <w:spacing/>
        <w:ind w:hanging="360" w:left="2880"/>
      </w:pPr>
      <w:rPr>
        <w:rFonts w:cs="Times New Roman"/>
      </w:rPr>
      <w:start w:val="1"/>
      <w:suff w:val="tab"/>
    </w:lvl>
    <w:lvl w:ilvl="4">
      <w:isLgl w:val="false"/>
      <w:lvlJc w:val="left"/>
      <w:lvlText w:val="%5."/>
      <w:numFmt w:val="lowerLetter"/>
      <w:pPr>
        <w:pBdr/>
        <w:tabs>
          <w:tab w:val="num" w:leader="none" w:pos="3600"/>
        </w:tabs>
        <w:spacing/>
        <w:ind w:hanging="360" w:left="3600"/>
      </w:pPr>
      <w:rPr>
        <w:rFonts w:cs="Times New Roman"/>
      </w:rPr>
      <w:start w:val="1"/>
      <w:suff w:val="tab"/>
    </w:lvl>
    <w:lvl w:ilvl="5">
      <w:isLgl w:val="false"/>
      <w:lvlJc w:val="right"/>
      <w:lvlText w:val="%6."/>
      <w:numFmt w:val="lowerRoman"/>
      <w:pPr>
        <w:pBdr/>
        <w:tabs>
          <w:tab w:val="num" w:leader="none" w:pos="4320"/>
        </w:tabs>
        <w:spacing/>
        <w:ind w:hanging="180" w:left="4320"/>
      </w:pPr>
      <w:rPr>
        <w:rFonts w:cs="Times New Roman"/>
      </w:rPr>
      <w:start w:val="1"/>
      <w:suff w:val="tab"/>
    </w:lvl>
    <w:lvl w:ilvl="6">
      <w:isLgl w:val="false"/>
      <w:lvlJc w:val="left"/>
      <w:lvlText w:val="%7."/>
      <w:numFmt w:val="decimal"/>
      <w:pPr>
        <w:pBdr/>
        <w:tabs>
          <w:tab w:val="num" w:leader="none" w:pos="5040"/>
        </w:tabs>
        <w:spacing/>
        <w:ind w:hanging="360" w:left="5040"/>
      </w:pPr>
      <w:rPr>
        <w:rFonts w:cs="Times New Roman"/>
      </w:rPr>
      <w:start w:val="1"/>
      <w:suff w:val="tab"/>
    </w:lvl>
    <w:lvl w:ilvl="7">
      <w:isLgl w:val="false"/>
      <w:lvlJc w:val="left"/>
      <w:lvlText w:val="%8."/>
      <w:numFmt w:val="lowerLetter"/>
      <w:pPr>
        <w:pBdr/>
        <w:tabs>
          <w:tab w:val="num" w:leader="none" w:pos="5760"/>
        </w:tabs>
        <w:spacing/>
        <w:ind w:hanging="360" w:left="5760"/>
      </w:pPr>
      <w:rPr>
        <w:rFonts w:cs="Times New Roman"/>
      </w:rPr>
      <w:start w:val="1"/>
      <w:suff w:val="tab"/>
    </w:lvl>
    <w:lvl w:ilvl="8">
      <w:isLgl w:val="false"/>
      <w:lvlJc w:val="right"/>
      <w:lvlText w:val="%9."/>
      <w:numFmt w:val="lowerRoman"/>
      <w:pPr>
        <w:pBdr/>
        <w:tabs>
          <w:tab w:val="num" w:leader="none" w:pos="6480"/>
        </w:tabs>
        <w:spacing/>
        <w:ind w:hanging="180" w:left="6480"/>
      </w:pPr>
      <w:rPr>
        <w:rFonts w:cs="Times New Roman"/>
      </w:rPr>
      <w:start w:val="1"/>
      <w:suff w:val="tab"/>
    </w:lvl>
  </w:abstractNum>
  <w:abstractNum w:abstractNumId="18">
    <w:lvl w:ilvl="0">
      <w:isLgl w:val="false"/>
      <w:lvlJc w:val="left"/>
      <w:lvlText w:val="%1"/>
      <w:numFmt w:val="decimal"/>
      <w:pPr>
        <w:pBdr/>
        <w:spacing/>
        <w:ind w:hanging="375" w:left="375"/>
      </w:pPr>
      <w:rPr>
        <w:rFonts w:hint="default" w:cs="Times New Roman"/>
        <w:color w:val="000000"/>
      </w:rPr>
      <w:start w:val="4"/>
      <w:suff w:val="tab"/>
    </w:lvl>
    <w:lvl w:ilvl="1">
      <w:isLgl w:val="false"/>
      <w:lvlJc w:val="left"/>
      <w:lvlText w:val="%1.%2"/>
      <w:numFmt w:val="decimal"/>
      <w:pPr>
        <w:pBdr/>
        <w:spacing/>
        <w:ind w:hanging="375" w:left="375"/>
      </w:pPr>
      <w:rPr>
        <w:rFonts w:hint="default" w:cs="Times New Roman"/>
        <w:color w:val="000000"/>
      </w:rPr>
      <w:start w:val="1"/>
      <w:suff w:val="tab"/>
    </w:lvl>
    <w:lvl w:ilvl="2">
      <w:isLgl w:val="false"/>
      <w:lvlJc w:val="left"/>
      <w:lvlText w:val="%1.%2.%3"/>
      <w:numFmt w:val="decimal"/>
      <w:pPr>
        <w:pBdr/>
        <w:spacing/>
        <w:ind w:hanging="720" w:left="1146"/>
      </w:pPr>
      <w:rPr>
        <w:rFonts w:hint="default" w:cs="Times New Roman"/>
        <w:strike w:val="0"/>
        <w:color w:val="000000"/>
      </w:rPr>
      <w:start w:val="1"/>
      <w:suff w:val="tab"/>
    </w:lvl>
    <w:lvl w:ilvl="3">
      <w:isLgl w:val="false"/>
      <w:lvlJc w:val="left"/>
      <w:lvlText w:val="%1.%2.%3.%4"/>
      <w:numFmt w:val="decimal"/>
      <w:pPr>
        <w:pBdr/>
        <w:spacing/>
        <w:ind w:hanging="1080" w:left="1080"/>
      </w:pPr>
      <w:rPr>
        <w:rFonts w:hint="default" w:cs="Times New Roman"/>
        <w:color w:val="000000"/>
      </w:rPr>
      <w:start w:val="1"/>
      <w:suff w:val="tab"/>
    </w:lvl>
    <w:lvl w:ilvl="4">
      <w:isLgl w:val="false"/>
      <w:lvlJc w:val="left"/>
      <w:lvlText w:val="%1.%2.%3.%4.%5"/>
      <w:numFmt w:val="decimal"/>
      <w:pPr>
        <w:pBdr/>
        <w:spacing/>
        <w:ind w:hanging="1080" w:left="1080"/>
      </w:pPr>
      <w:rPr>
        <w:rFonts w:hint="default" w:cs="Times New Roman"/>
        <w:color w:val="000000"/>
      </w:rPr>
      <w:start w:val="1"/>
      <w:suff w:val="tab"/>
    </w:lvl>
    <w:lvl w:ilvl="5">
      <w:isLgl w:val="false"/>
      <w:lvlJc w:val="left"/>
      <w:lvlText w:val="%1.%2.%3.%4.%5.%6"/>
      <w:numFmt w:val="decimal"/>
      <w:pPr>
        <w:pBdr/>
        <w:spacing/>
        <w:ind w:hanging="1440" w:left="1440"/>
      </w:pPr>
      <w:rPr>
        <w:rFonts w:hint="default" w:cs="Times New Roman"/>
        <w:color w:val="000000"/>
      </w:rPr>
      <w:start w:val="1"/>
      <w:suff w:val="tab"/>
    </w:lvl>
    <w:lvl w:ilvl="6">
      <w:isLgl w:val="false"/>
      <w:lvlJc w:val="left"/>
      <w:lvlText w:val="%1.%2.%3.%4.%5.%6.%7"/>
      <w:numFmt w:val="decimal"/>
      <w:pPr>
        <w:pBdr/>
        <w:spacing/>
        <w:ind w:hanging="1440" w:left="1440"/>
      </w:pPr>
      <w:rPr>
        <w:rFonts w:hint="default" w:cs="Times New Roman"/>
        <w:color w:val="000000"/>
      </w:rPr>
      <w:start w:val="1"/>
      <w:suff w:val="tab"/>
    </w:lvl>
    <w:lvl w:ilvl="7">
      <w:isLgl w:val="false"/>
      <w:lvlJc w:val="left"/>
      <w:lvlText w:val="%1.%2.%3.%4.%5.%6.%7.%8"/>
      <w:numFmt w:val="decimal"/>
      <w:pPr>
        <w:pBdr/>
        <w:spacing/>
        <w:ind w:hanging="1800" w:left="1800"/>
      </w:pPr>
      <w:rPr>
        <w:rFonts w:hint="default" w:cs="Times New Roman"/>
        <w:color w:val="000000"/>
      </w:rPr>
      <w:start w:val="1"/>
      <w:suff w:val="tab"/>
    </w:lvl>
    <w:lvl w:ilvl="8">
      <w:isLgl w:val="false"/>
      <w:lvlJc w:val="left"/>
      <w:lvlText w:val="%1.%2.%3.%4.%5.%6.%7.%8.%9"/>
      <w:numFmt w:val="decimal"/>
      <w:pPr>
        <w:pBdr/>
        <w:spacing/>
        <w:ind w:hanging="2160" w:left="2160"/>
      </w:pPr>
      <w:rPr>
        <w:rFonts w:hint="default" w:cs="Times New Roman"/>
        <w:color w:val="000000"/>
      </w:rPr>
      <w:start w:val="1"/>
      <w:suff w:val="tab"/>
    </w:lvl>
  </w:abstractNum>
  <w:abstractNum w:abstractNumId="19">
    <w:lvl w:ilvl="0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1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2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3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4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5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6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7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  <w:lvl w:ilvl="8">
      <w:isLgl w:val="false"/>
      <w:lvlJc w:val="left"/>
      <w:lvlText w:val="2.%1."/>
      <w:numFmt w:val="decimal"/>
      <w:pPr>
        <w:pBdr/>
        <w:spacing/>
        <w:ind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</w:rPr>
      <w:start w:val="1"/>
      <w:suff w:val="tab"/>
    </w:lvl>
  </w:abstractNum>
  <w:abstractNum w:abstractNumId="20">
    <w:lvl w:ilvl="0">
      <w:isLgl w:val="false"/>
      <w:lvlJc w:val="left"/>
      <w:lvlText w:val="%1."/>
      <w:numFmt w:val="decimal"/>
      <w:pPr>
        <w:pBdr/>
        <w:spacing/>
        <w:ind w:hanging="360" w:left="720"/>
      </w:pPr>
      <w:rPr>
        <w:rFonts w:hint="default" w:cs="Times New Roman"/>
      </w:rPr>
      <w:start w:val="1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>
        <w:rFonts w:cs="Times New Roman"/>
      </w:rPr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>
        <w:rFonts w:cs="Times New Roman"/>
      </w:rPr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>
        <w:rFonts w:cs="Times New Roman"/>
      </w:rPr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>
        <w:rFonts w:cs="Times New Roman"/>
      </w:rPr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>
        <w:rFonts w:cs="Times New Roman"/>
      </w:rPr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>
        <w:rFonts w:cs="Times New Roman"/>
      </w:rPr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>
        <w:rFonts w:cs="Times New Roman"/>
      </w:rPr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>
        <w:rFonts w:cs="Times New Roman"/>
      </w:rPr>
      <w:start w:val="1"/>
      <w:suff w:val="tab"/>
    </w:lvl>
  </w:abstractNum>
  <w:abstractNum w:abstractNumId="21">
    <w:lvl w:ilvl="0">
      <w:isLgl w:val="false"/>
      <w:lvlJc w:val="left"/>
      <w:lvlText w:val="%1."/>
      <w:numFmt w:val="decimal"/>
      <w:pPr>
        <w:pBdr/>
        <w:tabs>
          <w:tab w:val="num" w:leader="none" w:pos="360"/>
        </w:tabs>
        <w:spacing/>
        <w:ind w:hanging="360" w:left="360"/>
      </w:pPr>
      <w:rPr>
        <w:rFonts w:cs="Times New Roman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eastAsia="Times New Roman"/>
      </w:rPr>
      <w:start w:val="1"/>
      <w:suff w:val="tab"/>
    </w:lvl>
    <w:lvl w:ilvl="2">
      <w:isLgl w:val="false"/>
      <w:lvlJc w:val="left"/>
      <w:lvlText w:val="§"/>
      <w:numFmt w:val="bullet"/>
      <w:pPr>
        <w:pBdr/>
        <w:spacing/>
        <w:ind w:hanging="360" w:left="2160"/>
      </w:pPr>
      <w:rPr>
        <w:rFonts w:hint="default" w:ascii="Wingdings" w:hAnsi="Wingdings" w:eastAsia="Times New Roman"/>
      </w:rPr>
      <w:start w:val="1"/>
      <w:suff w:val="tab"/>
    </w:lvl>
    <w:lvl w:ilvl="3">
      <w:isLgl w:val="false"/>
      <w:lvlJc w:val="left"/>
      <w:lvlText w:val="·"/>
      <w:numFmt w:val="bullet"/>
      <w:pPr>
        <w:pBdr/>
        <w:spacing/>
        <w:ind w:hanging="360" w:left="2880"/>
      </w:pPr>
      <w:rPr>
        <w:rFonts w:hint="default" w:ascii="Symbol" w:hAnsi="Symbol" w:eastAsia="Times New Roman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eastAsia="Times New Roman"/>
      </w:rPr>
      <w:start w:val="1"/>
      <w:suff w:val="tab"/>
    </w:lvl>
    <w:lvl w:ilvl="5">
      <w:isLgl w:val="false"/>
      <w:lvlJc w:val="left"/>
      <w:lvlText w:val="§"/>
      <w:numFmt w:val="bullet"/>
      <w:pPr>
        <w:pBdr/>
        <w:spacing/>
        <w:ind w:hanging="360" w:left="4320"/>
      </w:pPr>
      <w:rPr>
        <w:rFonts w:hint="default" w:ascii="Wingdings" w:hAnsi="Wingdings" w:eastAsia="Times New Roman"/>
      </w:rPr>
      <w:start w:val="1"/>
      <w:suff w:val="tab"/>
    </w:lvl>
    <w:lvl w:ilvl="6">
      <w:isLgl w:val="false"/>
      <w:lvlJc w:val="left"/>
      <w:lvlText w:val="·"/>
      <w:numFmt w:val="bullet"/>
      <w:pPr>
        <w:pBdr/>
        <w:spacing/>
        <w:ind w:hanging="360" w:left="5040"/>
      </w:pPr>
      <w:rPr>
        <w:rFonts w:hint="default" w:ascii="Symbol" w:hAnsi="Symbol" w:eastAsia="Times New Roman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eastAsia="Times New Roman"/>
      </w:rPr>
      <w:start w:val="1"/>
      <w:suff w:val="tab"/>
    </w:lvl>
    <w:lvl w:ilvl="8">
      <w:isLgl w:val="false"/>
      <w:lvlJc w:val="left"/>
      <w:lvlText w:val="§"/>
      <w:numFmt w:val="bullet"/>
      <w:pPr>
        <w:pBdr/>
        <w:spacing/>
        <w:ind w:hanging="360" w:left="6480"/>
      </w:pPr>
      <w:rPr>
        <w:rFonts w:hint="default" w:ascii="Wingdings" w:hAnsi="Wingdings" w:eastAsia="Times New Roman"/>
      </w:rPr>
      <w:start w:val="1"/>
      <w:suff w:val="tab"/>
    </w:lvl>
  </w:abstractNum>
  <w:abstractNum w:abstractNumId="22">
    <w:lvl w:ilvl="0">
      <w:isLgl w:val="false"/>
      <w:lvlJc w:val="left"/>
      <w:lvlText w:val="%1."/>
      <w:numFmt w:val="decimal"/>
      <w:pPr>
        <w:pBdr/>
        <w:spacing/>
        <w:ind w:hanging="390" w:left="1099"/>
      </w:pPr>
      <w:rPr>
        <w:rFonts w:cs="Times New Roman"/>
      </w:rPr>
      <w:start w:val="1"/>
      <w:suff w:val="tab"/>
    </w:lvl>
    <w:lvl w:ilvl="1">
      <w:isLgl w:val="false"/>
      <w:lvlJc w:val="left"/>
      <w:lvlText w:val="%1.%2."/>
      <w:numFmt w:val="decimal"/>
      <w:pPr>
        <w:pBdr/>
        <w:spacing/>
        <w:ind w:hanging="720" w:left="1429"/>
      </w:pPr>
      <w:rPr>
        <w:rFonts w:cs="Times New Roman"/>
      </w:rPr>
      <w:start w:val="1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1429"/>
      </w:pPr>
      <w:rPr>
        <w:rFonts w:cs="Times New Roman"/>
      </w:rPr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1080" w:left="1789"/>
      </w:pPr>
      <w:rPr>
        <w:rFonts w:cs="Times New Roman"/>
      </w:rPr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1789"/>
      </w:pPr>
      <w:rPr>
        <w:rFonts w:cs="Times New Roman"/>
      </w:rPr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440" w:left="2149"/>
      </w:pPr>
      <w:rPr>
        <w:rFonts w:cs="Times New Roman"/>
      </w:rPr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800" w:left="2509"/>
      </w:pPr>
      <w:rPr>
        <w:rFonts w:cs="Times New Roman"/>
      </w:rPr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800" w:left="2509"/>
      </w:pPr>
      <w:rPr>
        <w:rFonts w:cs="Times New Roman"/>
      </w:rPr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2160" w:left="2869"/>
      </w:pPr>
      <w:rPr>
        <w:rFonts w:cs="Times New Roman"/>
      </w:rPr>
      <w:start w:val="1"/>
      <w:suff w:val="tab"/>
    </w:lvl>
  </w:abstractNum>
  <w:abstractNum w:abstractNumId="23">
    <w:lvl w:ilvl="0">
      <w:isLgl w:val="false"/>
      <w:lvlJc w:val="left"/>
      <w:lvlText w:val="%1."/>
      <w:numFmt w:val="decimal"/>
      <w:pPr>
        <w:pBdr/>
        <w:spacing/>
        <w:ind w:hanging="450" w:left="450"/>
      </w:pPr>
      <w:rPr>
        <w:rFonts w:hint="default" w:cs="Times New Roman"/>
      </w:rPr>
      <w:start w:val="3"/>
      <w:suff w:val="tab"/>
    </w:lvl>
    <w:lvl w:ilvl="1">
      <w:isLgl w:val="false"/>
      <w:lvlJc w:val="left"/>
      <w:lvlText w:val="%1.%2."/>
      <w:numFmt w:val="decimal"/>
      <w:pPr>
        <w:pBdr/>
        <w:spacing/>
        <w:ind w:hanging="720" w:left="1429"/>
      </w:pPr>
      <w:rPr>
        <w:rFonts w:hint="default" w:cs="Times New Roman"/>
      </w:rPr>
      <w:start w:val="6"/>
      <w:suff w:val="tab"/>
    </w:lvl>
    <w:lvl w:ilvl="2">
      <w:isLgl w:val="false"/>
      <w:lvlJc w:val="left"/>
      <w:lvlText w:val="%1.%2.%3."/>
      <w:numFmt w:val="decimal"/>
      <w:pPr>
        <w:pBdr/>
        <w:spacing/>
        <w:ind w:hanging="720" w:left="2138"/>
      </w:pPr>
      <w:rPr>
        <w:rFonts w:hint="default" w:cs="Times New Roman"/>
      </w:rPr>
      <w:start w:val="1"/>
      <w:suff w:val="tab"/>
    </w:lvl>
    <w:lvl w:ilvl="3">
      <w:isLgl w:val="false"/>
      <w:lvlJc w:val="left"/>
      <w:lvlText w:val="%1.%2.%3.%4."/>
      <w:numFmt w:val="decimal"/>
      <w:pPr>
        <w:pBdr/>
        <w:spacing/>
        <w:ind w:hanging="1080" w:left="3207"/>
      </w:pPr>
      <w:rPr>
        <w:rFonts w:hint="default" w:cs="Times New Roman"/>
      </w:rPr>
      <w:start w:val="1"/>
      <w:suff w:val="tab"/>
    </w:lvl>
    <w:lvl w:ilvl="4">
      <w:isLgl w:val="false"/>
      <w:lvlJc w:val="left"/>
      <w:lvlText w:val="%1.%2.%3.%4.%5."/>
      <w:numFmt w:val="decimal"/>
      <w:pPr>
        <w:pBdr/>
        <w:spacing/>
        <w:ind w:hanging="1080" w:left="3916"/>
      </w:pPr>
      <w:rPr>
        <w:rFonts w:hint="default" w:cs="Times New Roman"/>
      </w:rPr>
      <w:start w:val="1"/>
      <w:suff w:val="tab"/>
    </w:lvl>
    <w:lvl w:ilvl="5">
      <w:isLgl w:val="false"/>
      <w:lvlJc w:val="left"/>
      <w:lvlText w:val="%1.%2.%3.%4.%5.%6."/>
      <w:numFmt w:val="decimal"/>
      <w:pPr>
        <w:pBdr/>
        <w:spacing/>
        <w:ind w:hanging="1440" w:left="4985"/>
      </w:pPr>
      <w:rPr>
        <w:rFonts w:hint="default" w:cs="Times New Roman"/>
      </w:rPr>
      <w:start w:val="1"/>
      <w:suff w:val="tab"/>
    </w:lvl>
    <w:lvl w:ilvl="6">
      <w:isLgl w:val="false"/>
      <w:lvlJc w:val="left"/>
      <w:lvlText w:val="%1.%2.%3.%4.%5.%6.%7."/>
      <w:numFmt w:val="decimal"/>
      <w:pPr>
        <w:pBdr/>
        <w:spacing/>
        <w:ind w:hanging="1800" w:left="6054"/>
      </w:pPr>
      <w:rPr>
        <w:rFonts w:hint="default" w:cs="Times New Roman"/>
      </w:rPr>
      <w:start w:val="1"/>
      <w:suff w:val="tab"/>
    </w:lvl>
    <w:lvl w:ilvl="7">
      <w:isLgl w:val="false"/>
      <w:lvlJc w:val="left"/>
      <w:lvlText w:val="%1.%2.%3.%4.%5.%6.%7.%8."/>
      <w:numFmt w:val="decimal"/>
      <w:pPr>
        <w:pBdr/>
        <w:spacing/>
        <w:ind w:hanging="1800" w:left="6763"/>
      </w:pPr>
      <w:rPr>
        <w:rFonts w:hint="default" w:cs="Times New Roman"/>
      </w:rPr>
      <w:start w:val="1"/>
      <w:suff w:val="tab"/>
    </w:lvl>
    <w:lvl w:ilvl="8">
      <w:isLgl w:val="false"/>
      <w:lvlJc w:val="left"/>
      <w:lvlText w:val="%1.%2.%3.%4.%5.%6.%7.%8.%9."/>
      <w:numFmt w:val="decimal"/>
      <w:pPr>
        <w:pBdr/>
        <w:spacing/>
        <w:ind w:hanging="2160" w:left="7832"/>
      </w:pPr>
      <w:rPr>
        <w:rFonts w:hint="default" w:cs="Times New Roman"/>
      </w:rPr>
      <w:start w:val="1"/>
      <w:suff w:val="tab"/>
    </w:lvl>
  </w:abstractNum>
  <w:abstractNum w:abstractNumId="24">
    <w:lvl w:ilvl="0">
      <w:isLgl w:val="false"/>
      <w:lvlJc w:val="left"/>
      <w:lvlText w:val=""/>
      <w:numFmt w:val="bullet"/>
      <w:pPr>
        <w:pBdr/>
        <w:spacing/>
        <w:ind w:hanging="360" w:left="1440"/>
      </w:pPr>
      <w:rPr>
        <w:rFonts w:hint="default" w:ascii="Symbol" w:hAnsi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2160"/>
      </w:pPr>
      <w:rPr>
        <w:rFonts w:hint="default" w:ascii="Courier New" w:hAnsi="Courier New"/>
      </w:rPr>
      <w:start w:val="1"/>
      <w:suff w:val="tab"/>
    </w:lvl>
    <w:lvl w:ilvl="2">
      <w:isLgl w:val="false"/>
      <w:lvlJc w:val="left"/>
      <w:lvlText w:val=""/>
      <w:numFmt w:val="bullet"/>
      <w:pPr>
        <w:pBdr/>
        <w:spacing/>
        <w:ind w:hanging="360" w:left="2880"/>
      </w:pPr>
      <w:rPr>
        <w:rFonts w:hint="default" w:ascii="Wingdings" w:hAnsi="Wingdings"/>
      </w:rPr>
      <w:start w:val="1"/>
      <w:suff w:val="tab"/>
    </w:lvl>
    <w:lvl w:ilvl="3">
      <w:isLgl w:val="false"/>
      <w:lvlJc w:val="left"/>
      <w:lvlText w:val=""/>
      <w:numFmt w:val="bullet"/>
      <w:pPr>
        <w:pBdr/>
        <w:spacing/>
        <w:ind w:hanging="360" w:left="3600"/>
      </w:pPr>
      <w:rPr>
        <w:rFonts w:hint="default" w:ascii="Symbol" w:hAnsi="Symbol"/>
      </w:rPr>
      <w:start w:val="1"/>
      <w:suff w:val="tab"/>
    </w:lvl>
    <w:lvl w:ilvl="4">
      <w:isLgl w:val="false"/>
      <w:lvlJc w:val="left"/>
      <w:lvlText w:val="o"/>
      <w:numFmt w:val="bullet"/>
      <w:pPr>
        <w:pBdr/>
        <w:spacing/>
        <w:ind w:hanging="360" w:left="4320"/>
      </w:pPr>
      <w:rPr>
        <w:rFonts w:hint="default" w:ascii="Courier New" w:hAnsi="Courier New"/>
      </w:rPr>
      <w:start w:val="1"/>
      <w:suff w:val="tab"/>
    </w:lvl>
    <w:lvl w:ilvl="5">
      <w:isLgl w:val="false"/>
      <w:lvlJc w:val="left"/>
      <w:lvlText w:val=""/>
      <w:numFmt w:val="bullet"/>
      <w:pPr>
        <w:pBdr/>
        <w:spacing/>
        <w:ind w:hanging="360" w:left="5040"/>
      </w:pPr>
      <w:rPr>
        <w:rFonts w:hint="default" w:ascii="Wingdings" w:hAnsi="Wingdings"/>
      </w:rPr>
      <w:start w:val="1"/>
      <w:suff w:val="tab"/>
    </w:lvl>
    <w:lvl w:ilvl="6">
      <w:isLgl w:val="false"/>
      <w:lvlJc w:val="left"/>
      <w:lvlText w:val=""/>
      <w:numFmt w:val="bullet"/>
      <w:pPr>
        <w:pBdr/>
        <w:spacing/>
        <w:ind w:hanging="360" w:left="5760"/>
      </w:pPr>
      <w:rPr>
        <w:rFonts w:hint="default" w:ascii="Symbol" w:hAnsi="Symbol"/>
      </w:rPr>
      <w:start w:val="1"/>
      <w:suff w:val="tab"/>
    </w:lvl>
    <w:lvl w:ilvl="7">
      <w:isLgl w:val="false"/>
      <w:lvlJc w:val="left"/>
      <w:lvlText w:val="o"/>
      <w:numFmt w:val="bullet"/>
      <w:pPr>
        <w:pBdr/>
        <w:spacing/>
        <w:ind w:hanging="360" w:left="6480"/>
      </w:pPr>
      <w:rPr>
        <w:rFonts w:hint="default" w:ascii="Courier New" w:hAnsi="Courier New"/>
      </w:rPr>
      <w:start w:val="1"/>
      <w:suff w:val="tab"/>
    </w:lvl>
    <w:lvl w:ilvl="8">
      <w:isLgl w:val="false"/>
      <w:lvlJc w:val="left"/>
      <w:lvlText w:val=""/>
      <w:numFmt w:val="bullet"/>
      <w:pPr>
        <w:pBdr/>
        <w:spacing/>
        <w:ind w:hanging="360" w:left="7200"/>
      </w:pPr>
      <w:rPr>
        <w:rFonts w:hint="default" w:ascii="Wingdings" w:hAnsi="Wingdings"/>
      </w:rPr>
      <w:start w:val="1"/>
      <w:suff w:val="tab"/>
    </w:lvl>
  </w:abstractNum>
  <w:abstractNum w:abstractNumId="25">
    <w:lvl w:ilvl="0">
      <w:isLgl w:val="false"/>
      <w:lvlJc w:val="left"/>
      <w:lvlText w:val="%1."/>
      <w:numFmt w:val="decimal"/>
      <w:pPr>
        <w:pBdr/>
        <w:spacing/>
        <w:ind w:hanging="360" w:left="1417"/>
      </w:pPr>
      <w:rPr/>
      <w:start w:val="1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2137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857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3577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4297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5017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737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6457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7177"/>
      </w:pPr>
      <w:rPr/>
      <w:start w:val="1"/>
      <w:suff w:val="tab"/>
    </w:lvl>
  </w:abstractNum>
  <w:abstractNum w:abstractNumId="26">
    <w:lvl w:ilvl="0">
      <w:isLgl w:val="false"/>
      <w:lvlJc w:val="left"/>
      <w:lvlText w:val="%1."/>
      <w:numFmt w:val="decimal"/>
      <w:pPr>
        <w:pBdr/>
        <w:tabs>
          <w:tab w:val="num" w:leader="none" w:pos="720"/>
        </w:tabs>
        <w:spacing/>
        <w:ind w:hanging="360" w:left="720"/>
      </w:pPr>
      <w:rPr/>
      <w:start w:val="1"/>
      <w:suff w:val="tab"/>
    </w:lvl>
    <w:lvl w:ilvl="1">
      <w:isLgl w:val="false"/>
      <w:lvlJc w:val="left"/>
      <w:lvlText w:val="%2."/>
      <w:numFmt w:val="lowerLetter"/>
      <w:pPr>
        <w:pBdr/>
        <w:tabs>
          <w:tab w:val="num" w:leader="none" w:pos="1440"/>
        </w:tabs>
        <w:spacing/>
        <w:ind w:hanging="360" w:left="1440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tabs>
          <w:tab w:val="num" w:leader="none" w:pos="2160"/>
        </w:tabs>
        <w:spacing/>
        <w:ind w:hanging="180" w:left="2160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tabs>
          <w:tab w:val="num" w:leader="none" w:pos="2880"/>
        </w:tabs>
        <w:spacing/>
        <w:ind w:hanging="360" w:left="2880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tabs>
          <w:tab w:val="num" w:leader="none" w:pos="3600"/>
        </w:tabs>
        <w:spacing/>
        <w:ind w:hanging="360" w:left="3600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tabs>
          <w:tab w:val="num" w:leader="none" w:pos="4320"/>
        </w:tabs>
        <w:spacing/>
        <w:ind w:hanging="180" w:left="432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tabs>
          <w:tab w:val="num" w:leader="none" w:pos="5040"/>
        </w:tabs>
        <w:spacing/>
        <w:ind w:hanging="360" w:left="5040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tabs>
          <w:tab w:val="num" w:leader="none" w:pos="5760"/>
        </w:tabs>
        <w:spacing/>
        <w:ind w:hanging="360" w:left="5760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tabs>
          <w:tab w:val="num" w:leader="none" w:pos="6480"/>
        </w:tabs>
        <w:spacing/>
        <w:ind w:hanging="180" w:left="6480"/>
      </w:pPr>
      <w:rPr/>
      <w:start w:val="1"/>
      <w:suff w:val="tab"/>
    </w:lvl>
  </w:abstractNum>
  <w:abstractNum w:abstractNumId="27">
    <w:lvl w:ilvl="0">
      <w:isLgl w:val="false"/>
      <w:lvlJc w:val="left"/>
      <w:lvlText w:val="%1"/>
      <w:numFmt w:val="decimal"/>
      <w:pPr>
        <w:pBdr/>
        <w:tabs>
          <w:tab w:val="num" w:leader="none" w:pos="720"/>
        </w:tabs>
        <w:spacing/>
        <w:ind w:hanging="360" w:left="720"/>
      </w:pPr>
      <w:rPr/>
      <w:start w:val="3"/>
      <w:suff w:val="tab"/>
    </w:lvl>
    <w:lvl w:ilvl="1">
      <w:isLgl w:val="false"/>
      <w:lvlJc w:val="left"/>
      <w:lvlText w:val="%2."/>
      <w:numFmt w:val="lowerLetter"/>
      <w:pPr>
        <w:pBdr/>
        <w:tabs>
          <w:tab w:val="num" w:leader="none" w:pos="1440"/>
        </w:tabs>
        <w:spacing/>
        <w:ind w:hanging="360" w:left="1440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tabs>
          <w:tab w:val="num" w:leader="none" w:pos="2160"/>
        </w:tabs>
        <w:spacing/>
        <w:ind w:hanging="180" w:left="2160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tabs>
          <w:tab w:val="num" w:leader="none" w:pos="2880"/>
        </w:tabs>
        <w:spacing/>
        <w:ind w:hanging="360" w:left="2880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tabs>
          <w:tab w:val="num" w:leader="none" w:pos="3600"/>
        </w:tabs>
        <w:spacing/>
        <w:ind w:hanging="360" w:left="3600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tabs>
          <w:tab w:val="num" w:leader="none" w:pos="4320"/>
        </w:tabs>
        <w:spacing/>
        <w:ind w:hanging="180" w:left="432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tabs>
          <w:tab w:val="num" w:leader="none" w:pos="5040"/>
        </w:tabs>
        <w:spacing/>
        <w:ind w:hanging="360" w:left="5040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tabs>
          <w:tab w:val="num" w:leader="none" w:pos="5760"/>
        </w:tabs>
        <w:spacing/>
        <w:ind w:hanging="360" w:left="5760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tabs>
          <w:tab w:val="num" w:leader="none" w:pos="6480"/>
        </w:tabs>
        <w:spacing/>
        <w:ind w:hanging="180" w:left="6480"/>
      </w:pPr>
      <w:rPr/>
      <w:start w:val="1"/>
      <w:suff w:val="tab"/>
    </w:lvl>
  </w:abstractNum>
  <w:abstractNum w:abstractNumId="28">
    <w:lvl w:ilvl="0">
      <w:isLgl w:val="false"/>
      <w:lvlJc w:val="left"/>
      <w:lvlText w:val="%1."/>
      <w:numFmt w:val="decimal"/>
      <w:pPr>
        <w:pBdr/>
        <w:spacing/>
        <w:ind w:hanging="360" w:left="720"/>
      </w:pPr>
      <w:rPr>
        <w:b w:val="0"/>
        <w:color w:val="000000" w:themeColor="text1"/>
      </w:rPr>
      <w:start w:val="1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/>
      <w:start w:val="1"/>
      <w:suff w:val="tab"/>
    </w:lvl>
  </w:abstractNum>
  <w:abstractNum w:abstractNumId="29">
    <w:lvl w:ilvl="0">
      <w:isLgl w:val="false"/>
      <w:lvlJc w:val="left"/>
      <w:lvlText w:val="%1)"/>
      <w:numFmt w:val="decimal"/>
      <w:pPr>
        <w:pBdr/>
        <w:spacing/>
        <w:ind w:hanging="360" w:left="1065"/>
      </w:pPr>
      <w:rPr/>
      <w:start w:val="1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1785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505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3225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3945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4665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385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6105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6825"/>
      </w:pPr>
      <w:rPr/>
      <w:start w:val="1"/>
      <w:suff w:val="tab"/>
    </w:lvl>
  </w:abstractNum>
  <w:abstractNum w:abstractNumId="30">
    <w:lvl w:ilvl="0">
      <w:isLgl w:val="false"/>
      <w:lvlJc w:val="left"/>
      <w:lvlText w:val="%1."/>
      <w:numFmt w:val="decimal"/>
      <w:pPr>
        <w:pBdr/>
        <w:spacing/>
        <w:ind w:hanging="360" w:left="720"/>
      </w:pPr>
      <w:rPr/>
      <w:start w:val="2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/>
      <w:start w:val="1"/>
      <w:suff w:val="tab"/>
    </w:lvl>
  </w:abstractNum>
  <w:abstractNum w:abstractNumId="31">
    <w:lvl w:ilvl="0">
      <w:isLgl w:val="false"/>
      <w:lvlJc w:val="left"/>
      <w:lvlText w:val="%1."/>
      <w:numFmt w:val="decimal"/>
      <w:pPr>
        <w:pBdr/>
        <w:spacing/>
        <w:ind w:hanging="360" w:left="720"/>
      </w:pPr>
      <w:rPr>
        <w:b w:val="0"/>
      </w:rPr>
      <w:start w:val="1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/>
      <w:start w:val="1"/>
      <w:suff w:val="tab"/>
    </w:lvl>
  </w:abstractNum>
  <w:num w:numId="1">
    <w:abstractNumId w:val="1"/>
  </w:num>
  <w:num w:numId="2">
    <w:abstractNumId w:val="21"/>
  </w:num>
  <w:num w:numId="3">
    <w:abstractNumId w:val="22"/>
  </w:num>
  <w:num w:numId="4">
    <w:abstractNumId w:val="10"/>
  </w:num>
  <w:num w:numId="5">
    <w:abstractNumId w:val="19"/>
  </w:num>
  <w:num w:numId="6">
    <w:abstractNumId w:val="4"/>
  </w:num>
  <w:num w:numId="7">
    <w:abstractNumId w:val="13"/>
  </w:num>
  <w:num w:numId="8">
    <w:abstractNumId w:val="9"/>
  </w:num>
  <w:num w:numId="9">
    <w:abstractNumId w:val="16"/>
  </w:num>
  <w:num w:numId="10">
    <w:abstractNumId w:val="12"/>
  </w:num>
  <w:num w:numId="11">
    <w:abstractNumId w:val="15"/>
  </w:num>
  <w:num w:numId="12">
    <w:abstractNumId w:val="0"/>
  </w:num>
  <w:num w:numId="13">
    <w:abstractNumId w:val="7"/>
  </w:num>
  <w:num w:numId="14">
    <w:abstractNumId w:val="3"/>
  </w:num>
  <w:num w:numId="15">
    <w:abstractNumId w:val="8"/>
  </w:num>
  <w:num w:numId="16">
    <w:abstractNumId w:val="23"/>
  </w:num>
  <w:num w:numId="17">
    <w:abstractNumId w:val="18"/>
  </w:num>
  <w:num w:numId="18">
    <w:abstractNumId w:val="17"/>
  </w:num>
  <w:num w:numId="19">
    <w:abstractNumId w:val="6"/>
  </w:num>
  <w:num w:numId="20">
    <w:abstractNumId w:val="14"/>
  </w:num>
  <w:num w:numId="21">
    <w:abstractNumId w:val="20"/>
  </w:num>
  <w:num w:numId="22">
    <w:abstractNumId w:val="5"/>
  </w:num>
  <w:num w:numId="23">
    <w:abstractNumId w:val="24"/>
  </w:num>
  <w:num w:numId="24">
    <w:abstractNumId w:val="2"/>
  </w:num>
  <w:num w:numId="25">
    <w:abstractNumId w:val="11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sz w:val="22"/>
        <w:szCs w:val="22"/>
        <w:lang w:val="ru-RU" w:eastAsia="ru-RU" w:bidi="ar-SA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65">
    <w:name w:val="Intense Emphasis"/>
    <w:basedOn w:val="741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741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70">
    <w:name w:val="Subtle Emphasis"/>
    <w:basedOn w:val="741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741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741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741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741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187">
    <w:name w:val="FollowedHyperlink"/>
    <w:basedOn w:val="741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740" w:default="1">
    <w:name w:val="Normal"/>
    <w:qFormat/>
    <w:pPr>
      <w:pBdr/>
      <w:spacing/>
      <w:ind/>
    </w:pPr>
    <w:rPr>
      <w:sz w:val="20"/>
      <w:szCs w:val="20"/>
      <w:lang w:eastAsia="zh-CN"/>
    </w:rPr>
  </w:style>
  <w:style w:type="character" w:styleId="741" w:default="1">
    <w:name w:val="Default Paragraph Font"/>
    <w:uiPriority w:val="1"/>
    <w:semiHidden/>
    <w:unhideWhenUsed/>
    <w:pPr>
      <w:pBdr/>
      <w:spacing/>
      <w:ind/>
    </w:pPr>
  </w:style>
  <w:style w:type="table" w:styleId="742" w:default="1">
    <w:name w:val="Normal Table"/>
    <w:uiPriority w:val="99"/>
    <w:semiHidden/>
    <w:unhideWhenUsed/>
    <w:qFormat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743" w:default="1">
    <w:name w:val="No List"/>
    <w:uiPriority w:val="99"/>
    <w:semiHidden/>
    <w:unhideWhenUsed/>
    <w:pPr>
      <w:pBdr/>
      <w:spacing/>
      <w:ind/>
    </w:pPr>
  </w:style>
  <w:style w:type="character" w:styleId="744" w:customStyle="1">
    <w:name w:val="Heading 1 Char"/>
    <w:basedOn w:val="741"/>
    <w:link w:val="753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character" w:styleId="745" w:customStyle="1">
    <w:name w:val="Heading 2 Char"/>
    <w:basedOn w:val="741"/>
    <w:link w:val="754"/>
    <w:uiPriority w:val="9"/>
    <w:pPr>
      <w:pBdr/>
      <w:spacing/>
      <w:ind/>
    </w:pPr>
    <w:rPr>
      <w:rFonts w:ascii="Arial" w:hAnsi="Arial" w:eastAsia="Arial" w:cs="Arial"/>
      <w:sz w:val="34"/>
    </w:rPr>
  </w:style>
  <w:style w:type="character" w:styleId="746" w:customStyle="1">
    <w:name w:val="Heading 3 Char"/>
    <w:basedOn w:val="741"/>
    <w:link w:val="755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character" w:styleId="747" w:customStyle="1">
    <w:name w:val="Heading 4 Char"/>
    <w:basedOn w:val="741"/>
    <w:link w:val="756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character" w:styleId="748" w:customStyle="1">
    <w:name w:val="Heading 5 Char"/>
    <w:basedOn w:val="741"/>
    <w:link w:val="757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character" w:styleId="749" w:customStyle="1">
    <w:name w:val="Heading 6 Char"/>
    <w:basedOn w:val="741"/>
    <w:link w:val="758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character" w:styleId="750" w:customStyle="1">
    <w:name w:val="Heading 7 Char"/>
    <w:basedOn w:val="741"/>
    <w:link w:val="759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51" w:customStyle="1">
    <w:name w:val="Heading 8 Char"/>
    <w:basedOn w:val="741"/>
    <w:link w:val="760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character" w:styleId="752" w:customStyle="1">
    <w:name w:val="Heading 9 Char"/>
    <w:basedOn w:val="741"/>
    <w:link w:val="761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753" w:customStyle="1">
    <w:name w:val="Heading 1"/>
    <w:basedOn w:val="740"/>
    <w:next w:val="740"/>
    <w:link w:val="762"/>
    <w:uiPriority w:val="99"/>
    <w:qFormat/>
    <w:pPr>
      <w:keepNext w:val="true"/>
      <w:pBdr/>
      <w:spacing/>
      <w:ind w:left="703"/>
      <w:outlineLvl w:val="0"/>
    </w:pPr>
    <w:rPr>
      <w:rFonts w:ascii="Arial" w:hAnsi="Arial"/>
      <w:b/>
      <w:spacing w:val="28"/>
      <w:sz w:val="24"/>
    </w:rPr>
  </w:style>
  <w:style w:type="paragraph" w:styleId="754" w:customStyle="1">
    <w:name w:val="Heading 2"/>
    <w:basedOn w:val="740"/>
    <w:next w:val="740"/>
    <w:link w:val="763"/>
    <w:uiPriority w:val="99"/>
    <w:qFormat/>
    <w:pPr>
      <w:keepNext w:val="true"/>
      <w:pBdr/>
      <w:spacing/>
      <w:ind/>
      <w:jc w:val="center"/>
      <w:outlineLvl w:val="1"/>
    </w:pPr>
    <w:rPr>
      <w:sz w:val="28"/>
    </w:rPr>
  </w:style>
  <w:style w:type="paragraph" w:styleId="755" w:customStyle="1">
    <w:name w:val="Heading 3"/>
    <w:basedOn w:val="740"/>
    <w:next w:val="740"/>
    <w:link w:val="764"/>
    <w:uiPriority w:val="99"/>
    <w:qFormat/>
    <w:pPr>
      <w:keepNext w:val="true"/>
      <w:pBdr/>
      <w:tabs>
        <w:tab w:val="left" w:leader="none" w:pos="4927"/>
        <w:tab w:val="left" w:leader="none" w:pos="9854"/>
      </w:tabs>
      <w:spacing w:line="240" w:lineRule="exact"/>
      <w:ind/>
      <w:outlineLvl w:val="2"/>
    </w:pPr>
    <w:rPr>
      <w:b/>
      <w:sz w:val="28"/>
    </w:rPr>
  </w:style>
  <w:style w:type="paragraph" w:styleId="756" w:customStyle="1">
    <w:name w:val="Heading 4"/>
    <w:basedOn w:val="740"/>
    <w:next w:val="740"/>
    <w:link w:val="765"/>
    <w:uiPriority w:val="99"/>
    <w:qFormat/>
    <w:pPr>
      <w:keepNext w:val="true"/>
      <w:pBdr/>
      <w:spacing w:line="240" w:lineRule="exact"/>
      <w:ind/>
      <w:outlineLvl w:val="3"/>
    </w:pPr>
    <w:rPr>
      <w:sz w:val="28"/>
    </w:rPr>
  </w:style>
  <w:style w:type="paragraph" w:styleId="757" w:customStyle="1">
    <w:name w:val="Heading 5"/>
    <w:basedOn w:val="740"/>
    <w:next w:val="740"/>
    <w:link w:val="766"/>
    <w:uiPriority w:val="99"/>
    <w:qFormat/>
    <w:pPr>
      <w:keepNext w:val="true"/>
      <w:pBdr/>
      <w:spacing w:line="240" w:lineRule="exact"/>
      <w:ind/>
      <w:outlineLvl w:val="4"/>
    </w:pPr>
    <w:rPr>
      <w:sz w:val="24"/>
    </w:rPr>
  </w:style>
  <w:style w:type="paragraph" w:styleId="758" w:customStyle="1">
    <w:name w:val="Heading 6"/>
    <w:basedOn w:val="740"/>
    <w:next w:val="740"/>
    <w:link w:val="767"/>
    <w:uiPriority w:val="99"/>
    <w:qFormat/>
    <w:pPr>
      <w:keepNext w:val="true"/>
      <w:pBdr/>
      <w:spacing w:before="240" w:line="240" w:lineRule="exact"/>
      <w:ind/>
      <w:jc w:val="both"/>
      <w:outlineLvl w:val="5"/>
    </w:pPr>
    <w:rPr>
      <w:sz w:val="28"/>
    </w:rPr>
  </w:style>
  <w:style w:type="paragraph" w:styleId="759" w:customStyle="1">
    <w:name w:val="Heading 7"/>
    <w:basedOn w:val="740"/>
    <w:next w:val="740"/>
    <w:link w:val="768"/>
    <w:uiPriority w:val="99"/>
    <w:qFormat/>
    <w:pPr>
      <w:keepNext w:val="true"/>
      <w:pBdr/>
      <w:spacing w:after="120"/>
      <w:ind/>
      <w:jc w:val="center"/>
      <w:outlineLvl w:val="6"/>
    </w:pPr>
    <w:rPr>
      <w:rFonts w:ascii="Arial" w:hAnsi="Arial"/>
      <w:b/>
      <w:sz w:val="24"/>
    </w:rPr>
  </w:style>
  <w:style w:type="paragraph" w:styleId="760" w:customStyle="1">
    <w:name w:val="Heading 8"/>
    <w:basedOn w:val="740"/>
    <w:next w:val="740"/>
    <w:link w:val="769"/>
    <w:uiPriority w:val="99"/>
    <w:qFormat/>
    <w:pPr>
      <w:keepNext w:val="true"/>
      <w:pBdr/>
      <w:spacing w:before="240" w:line="240" w:lineRule="exact"/>
      <w:ind w:firstLine="142"/>
      <w:jc w:val="center"/>
      <w:outlineLvl w:val="7"/>
    </w:pPr>
    <w:rPr>
      <w:smallCaps/>
      <w:sz w:val="28"/>
    </w:rPr>
  </w:style>
  <w:style w:type="paragraph" w:styleId="761" w:customStyle="1">
    <w:name w:val="Heading 9"/>
    <w:basedOn w:val="740"/>
    <w:next w:val="740"/>
    <w:link w:val="770"/>
    <w:uiPriority w:val="99"/>
    <w:qFormat/>
    <w:pPr>
      <w:keepNext w:val="true"/>
      <w:pBdr/>
      <w:spacing/>
      <w:ind/>
      <w:jc w:val="right"/>
      <w:outlineLvl w:val="8"/>
    </w:pPr>
    <w:rPr>
      <w:sz w:val="28"/>
      <w:lang w:eastAsia="ru-RU"/>
    </w:rPr>
  </w:style>
  <w:style w:type="character" w:styleId="762" w:customStyle="1">
    <w:name w:val="Заголовок 1 Знак"/>
    <w:basedOn w:val="741"/>
    <w:link w:val="777"/>
    <w:uiPriority w:val="99"/>
    <w:pPr>
      <w:pBdr/>
      <w:spacing/>
      <w:ind/>
    </w:pPr>
    <w:rPr>
      <w:rFonts w:ascii="Arial" w:hAnsi="Arial" w:cs="Times New Roman"/>
      <w:sz w:val="40"/>
      <w:szCs w:val="40"/>
      <w:lang w:val="ru-RU" w:eastAsia="ru-RU" w:bidi="ar-SA"/>
    </w:rPr>
  </w:style>
  <w:style w:type="character" w:styleId="763" w:customStyle="1">
    <w:name w:val="Заголовок 2 Знак"/>
    <w:basedOn w:val="741"/>
    <w:link w:val="778"/>
    <w:uiPriority w:val="99"/>
    <w:pPr>
      <w:pBdr/>
      <w:spacing/>
      <w:ind/>
    </w:pPr>
    <w:rPr>
      <w:rFonts w:ascii="Arial" w:hAnsi="Arial" w:cs="Times New Roman"/>
      <w:sz w:val="34"/>
      <w:lang w:val="ru-RU" w:eastAsia="ru-RU" w:bidi="ar-SA"/>
    </w:rPr>
  </w:style>
  <w:style w:type="character" w:styleId="764" w:customStyle="1">
    <w:name w:val="Заголовок 3 Знак"/>
    <w:basedOn w:val="741"/>
    <w:link w:val="779"/>
    <w:uiPriority w:val="99"/>
    <w:pPr>
      <w:pBdr/>
      <w:spacing/>
      <w:ind/>
    </w:pPr>
    <w:rPr>
      <w:rFonts w:ascii="Arial" w:hAnsi="Arial" w:cs="Times New Roman"/>
      <w:sz w:val="30"/>
      <w:szCs w:val="30"/>
      <w:lang w:val="ru-RU" w:eastAsia="ru-RU" w:bidi="ar-SA"/>
    </w:rPr>
  </w:style>
  <w:style w:type="character" w:styleId="765" w:customStyle="1">
    <w:name w:val="Заголовок 4 Знак"/>
    <w:basedOn w:val="741"/>
    <w:link w:val="780"/>
    <w:uiPriority w:val="99"/>
    <w:pPr>
      <w:pBdr/>
      <w:spacing/>
      <w:ind/>
    </w:pPr>
    <w:rPr>
      <w:rFonts w:ascii="Arial" w:hAnsi="Arial" w:cs="Times New Roman"/>
      <w:b/>
      <w:bCs/>
      <w:sz w:val="26"/>
      <w:szCs w:val="26"/>
      <w:lang w:val="ru-RU" w:eastAsia="ru-RU" w:bidi="ar-SA"/>
    </w:rPr>
  </w:style>
  <w:style w:type="character" w:styleId="766" w:customStyle="1">
    <w:name w:val="Заголовок 5 Знак"/>
    <w:basedOn w:val="741"/>
    <w:link w:val="781"/>
    <w:uiPriority w:val="99"/>
    <w:pPr>
      <w:pBdr/>
      <w:spacing/>
      <w:ind/>
    </w:pPr>
    <w:rPr>
      <w:rFonts w:ascii="Arial" w:hAnsi="Arial" w:cs="Times New Roman"/>
      <w:b/>
      <w:bCs/>
      <w:sz w:val="24"/>
      <w:szCs w:val="24"/>
      <w:lang w:val="ru-RU" w:eastAsia="ru-RU" w:bidi="ar-SA"/>
    </w:rPr>
  </w:style>
  <w:style w:type="character" w:styleId="767" w:customStyle="1">
    <w:name w:val="Заголовок 6 Знак"/>
    <w:basedOn w:val="741"/>
    <w:link w:val="782"/>
    <w:uiPriority w:val="99"/>
    <w:pPr>
      <w:pBdr/>
      <w:spacing/>
      <w:ind/>
    </w:pPr>
    <w:rPr>
      <w:rFonts w:ascii="Arial" w:hAnsi="Arial" w:cs="Times New Roman"/>
      <w:b/>
      <w:bCs/>
      <w:sz w:val="22"/>
      <w:szCs w:val="22"/>
      <w:lang w:val="ru-RU" w:eastAsia="ru-RU" w:bidi="ar-SA"/>
    </w:rPr>
  </w:style>
  <w:style w:type="character" w:styleId="768" w:customStyle="1">
    <w:name w:val="Заголовок 7 Знак"/>
    <w:basedOn w:val="741"/>
    <w:link w:val="783"/>
    <w:uiPriority w:val="99"/>
    <w:pPr>
      <w:pBdr/>
      <w:spacing/>
      <w:ind/>
    </w:pPr>
    <w:rPr>
      <w:rFonts w:ascii="Arial" w:hAnsi="Arial" w:cs="Times New Roman"/>
      <w:b/>
      <w:bCs/>
      <w:i/>
      <w:iCs/>
      <w:sz w:val="22"/>
      <w:szCs w:val="22"/>
      <w:lang w:val="ru-RU" w:eastAsia="ru-RU" w:bidi="ar-SA"/>
    </w:rPr>
  </w:style>
  <w:style w:type="character" w:styleId="769" w:customStyle="1">
    <w:name w:val="Заголовок 8 Знак"/>
    <w:basedOn w:val="741"/>
    <w:link w:val="784"/>
    <w:uiPriority w:val="99"/>
    <w:pPr>
      <w:pBdr/>
      <w:spacing/>
      <w:ind/>
    </w:pPr>
    <w:rPr>
      <w:rFonts w:ascii="Arial" w:hAnsi="Arial" w:cs="Times New Roman"/>
      <w:i/>
      <w:iCs/>
      <w:sz w:val="22"/>
      <w:szCs w:val="22"/>
      <w:lang w:val="ru-RU" w:eastAsia="ru-RU" w:bidi="ar-SA"/>
    </w:rPr>
  </w:style>
  <w:style w:type="character" w:styleId="770" w:customStyle="1">
    <w:name w:val="Заголовок 9 Знак"/>
    <w:basedOn w:val="741"/>
    <w:link w:val="785"/>
    <w:uiPriority w:val="99"/>
    <w:pPr>
      <w:pBdr/>
      <w:spacing/>
      <w:ind/>
    </w:pPr>
    <w:rPr>
      <w:rFonts w:ascii="Arial" w:hAnsi="Arial" w:cs="Times New Roman"/>
      <w:i/>
      <w:iCs/>
      <w:sz w:val="21"/>
      <w:szCs w:val="21"/>
      <w:lang w:val="ru-RU" w:eastAsia="ru-RU" w:bidi="ar-SA"/>
    </w:rPr>
  </w:style>
  <w:style w:type="character" w:styleId="771" w:customStyle="1">
    <w:name w:val="Title Char"/>
    <w:basedOn w:val="741"/>
    <w:link w:val="788"/>
    <w:uiPriority w:val="99"/>
    <w:pPr>
      <w:pBdr/>
      <w:spacing/>
      <w:ind/>
    </w:pPr>
    <w:rPr>
      <w:rFonts w:cs="Times New Roman"/>
      <w:sz w:val="48"/>
      <w:szCs w:val="48"/>
    </w:rPr>
  </w:style>
  <w:style w:type="character" w:styleId="772" w:customStyle="1">
    <w:name w:val="Subtitle Char"/>
    <w:basedOn w:val="741"/>
    <w:link w:val="790"/>
    <w:uiPriority w:val="99"/>
    <w:pPr>
      <w:pBdr/>
      <w:spacing/>
      <w:ind/>
    </w:pPr>
    <w:rPr>
      <w:rFonts w:cs="Times New Roman"/>
      <w:sz w:val="24"/>
      <w:szCs w:val="24"/>
    </w:rPr>
  </w:style>
  <w:style w:type="character" w:styleId="773" w:customStyle="1">
    <w:name w:val="Quote Char"/>
    <w:uiPriority w:val="99"/>
    <w:pPr>
      <w:pBdr/>
      <w:spacing/>
      <w:ind/>
    </w:pPr>
    <w:rPr>
      <w:i/>
    </w:rPr>
  </w:style>
  <w:style w:type="character" w:styleId="774" w:customStyle="1">
    <w:name w:val="Intense Quote Char"/>
    <w:uiPriority w:val="99"/>
    <w:pPr>
      <w:pBdr/>
      <w:spacing/>
      <w:ind/>
    </w:pPr>
    <w:rPr>
      <w:i/>
    </w:rPr>
  </w:style>
  <w:style w:type="character" w:styleId="775" w:customStyle="1">
    <w:name w:val="Footnote Text Char"/>
    <w:uiPriority w:val="99"/>
    <w:pPr>
      <w:pBdr/>
      <w:spacing/>
      <w:ind/>
    </w:pPr>
    <w:rPr>
      <w:sz w:val="18"/>
    </w:rPr>
  </w:style>
  <w:style w:type="character" w:styleId="776" w:customStyle="1">
    <w:name w:val="Endnote Text Char"/>
    <w:uiPriority w:val="99"/>
    <w:pPr>
      <w:pBdr/>
      <w:spacing/>
      <w:ind/>
    </w:pPr>
    <w:rPr>
      <w:sz w:val="20"/>
    </w:rPr>
  </w:style>
  <w:style w:type="paragraph" w:styleId="777" w:customStyle="1">
    <w:name w:val="Heading 11"/>
    <w:link w:val="762"/>
    <w:uiPriority w:val="99"/>
    <w:pPr>
      <w:keepNext w:val="true"/>
      <w:keepLines w:val="true"/>
      <w:pBdr/>
      <w:spacing w:after="200" w:before="480"/>
      <w:ind/>
      <w:outlineLvl w:val="0"/>
    </w:pPr>
    <w:rPr>
      <w:rFonts w:ascii="Arial" w:hAnsi="Arial"/>
      <w:sz w:val="40"/>
      <w:szCs w:val="40"/>
    </w:rPr>
  </w:style>
  <w:style w:type="paragraph" w:styleId="778" w:customStyle="1">
    <w:name w:val="Heading 21"/>
    <w:link w:val="763"/>
    <w:uiPriority w:val="99"/>
    <w:pPr>
      <w:keepNext w:val="true"/>
      <w:keepLines w:val="true"/>
      <w:pBdr/>
      <w:spacing w:after="200" w:before="360"/>
      <w:ind/>
      <w:outlineLvl w:val="1"/>
    </w:pPr>
    <w:rPr>
      <w:rFonts w:ascii="Arial" w:hAnsi="Arial"/>
      <w:sz w:val="34"/>
      <w:szCs w:val="20"/>
    </w:rPr>
  </w:style>
  <w:style w:type="paragraph" w:styleId="779" w:customStyle="1">
    <w:name w:val="Heading 31"/>
    <w:link w:val="764"/>
    <w:uiPriority w:val="99"/>
    <w:pPr>
      <w:keepNext w:val="true"/>
      <w:keepLines w:val="true"/>
      <w:pBdr/>
      <w:spacing w:after="200" w:before="320"/>
      <w:ind/>
      <w:outlineLvl w:val="2"/>
    </w:pPr>
    <w:rPr>
      <w:rFonts w:ascii="Arial" w:hAnsi="Arial"/>
      <w:sz w:val="30"/>
      <w:szCs w:val="30"/>
    </w:rPr>
  </w:style>
  <w:style w:type="paragraph" w:styleId="780" w:customStyle="1">
    <w:name w:val="Heading 41"/>
    <w:link w:val="765"/>
    <w:uiPriority w:val="99"/>
    <w:pPr>
      <w:keepNext w:val="true"/>
      <w:keepLines w:val="true"/>
      <w:pBdr/>
      <w:spacing w:after="200" w:before="320"/>
      <w:ind/>
      <w:outlineLvl w:val="3"/>
    </w:pPr>
    <w:rPr>
      <w:rFonts w:ascii="Arial" w:hAnsi="Arial"/>
      <w:b/>
      <w:bCs/>
      <w:sz w:val="26"/>
      <w:szCs w:val="26"/>
    </w:rPr>
  </w:style>
  <w:style w:type="paragraph" w:styleId="781" w:customStyle="1">
    <w:name w:val="Heading 51"/>
    <w:link w:val="766"/>
    <w:uiPriority w:val="99"/>
    <w:pPr>
      <w:keepNext w:val="true"/>
      <w:keepLines w:val="true"/>
      <w:pBdr/>
      <w:spacing w:after="200" w:before="320"/>
      <w:ind/>
      <w:outlineLvl w:val="4"/>
    </w:pPr>
    <w:rPr>
      <w:rFonts w:ascii="Arial" w:hAnsi="Arial"/>
      <w:b/>
      <w:bCs/>
      <w:sz w:val="24"/>
      <w:szCs w:val="24"/>
    </w:rPr>
  </w:style>
  <w:style w:type="paragraph" w:styleId="782" w:customStyle="1">
    <w:name w:val="Heading 61"/>
    <w:link w:val="767"/>
    <w:uiPriority w:val="99"/>
    <w:pPr>
      <w:keepNext w:val="true"/>
      <w:keepLines w:val="true"/>
      <w:pBdr/>
      <w:spacing w:after="200" w:before="320"/>
      <w:ind/>
      <w:outlineLvl w:val="5"/>
    </w:pPr>
    <w:rPr>
      <w:rFonts w:ascii="Arial" w:hAnsi="Arial"/>
      <w:b/>
      <w:bCs/>
    </w:rPr>
  </w:style>
  <w:style w:type="paragraph" w:styleId="783" w:customStyle="1">
    <w:name w:val="Heading 71"/>
    <w:link w:val="768"/>
    <w:uiPriority w:val="99"/>
    <w:pPr>
      <w:keepNext w:val="true"/>
      <w:keepLines w:val="true"/>
      <w:pBdr/>
      <w:spacing w:after="200" w:before="320"/>
      <w:ind/>
      <w:outlineLvl w:val="6"/>
    </w:pPr>
    <w:rPr>
      <w:rFonts w:ascii="Arial" w:hAnsi="Arial"/>
      <w:b/>
      <w:bCs/>
      <w:i/>
      <w:iCs/>
    </w:rPr>
  </w:style>
  <w:style w:type="paragraph" w:styleId="784" w:customStyle="1">
    <w:name w:val="Heading 81"/>
    <w:link w:val="769"/>
    <w:uiPriority w:val="99"/>
    <w:pPr>
      <w:keepNext w:val="true"/>
      <w:keepLines w:val="true"/>
      <w:pBdr/>
      <w:spacing w:after="200" w:before="320"/>
      <w:ind/>
      <w:outlineLvl w:val="7"/>
    </w:pPr>
    <w:rPr>
      <w:rFonts w:ascii="Arial" w:hAnsi="Arial"/>
      <w:i/>
      <w:iCs/>
    </w:rPr>
  </w:style>
  <w:style w:type="paragraph" w:styleId="785" w:customStyle="1">
    <w:name w:val="Heading 91"/>
    <w:link w:val="770"/>
    <w:uiPriority w:val="99"/>
    <w:pPr>
      <w:keepNext w:val="true"/>
      <w:keepLines w:val="true"/>
      <w:pBdr/>
      <w:spacing w:after="200" w:before="320"/>
      <w:ind/>
      <w:outlineLvl w:val="8"/>
    </w:pPr>
    <w:rPr>
      <w:rFonts w:ascii="Arial" w:hAnsi="Arial"/>
      <w:i/>
      <w:iCs/>
      <w:sz w:val="21"/>
      <w:szCs w:val="21"/>
    </w:rPr>
  </w:style>
  <w:style w:type="paragraph" w:styleId="786">
    <w:name w:val="List Paragraph"/>
    <w:basedOn w:val="740"/>
    <w:uiPriority w:val="99"/>
    <w:qFormat/>
    <w:pPr>
      <w:pBdr/>
      <w:spacing/>
      <w:ind w:left="720"/>
      <w:contextualSpacing w:val="true"/>
    </w:pPr>
  </w:style>
  <w:style w:type="paragraph" w:styleId="787">
    <w:name w:val="No Spacing"/>
    <w:uiPriority w:val="99"/>
    <w:qFormat/>
    <w:pPr>
      <w:pBdr/>
      <w:spacing/>
      <w:ind/>
    </w:pPr>
    <w:rPr>
      <w:sz w:val="20"/>
      <w:szCs w:val="20"/>
      <w:lang w:eastAsia="zh-CN"/>
    </w:rPr>
  </w:style>
  <w:style w:type="paragraph" w:styleId="788">
    <w:name w:val="Title"/>
    <w:basedOn w:val="740"/>
    <w:link w:val="789"/>
    <w:uiPriority w:val="99"/>
    <w:qFormat/>
    <w:pPr>
      <w:pBdr/>
      <w:spacing w:after="200" w:before="300"/>
      <w:ind/>
      <w:contextualSpacing w:val="true"/>
    </w:pPr>
    <w:rPr>
      <w:sz w:val="48"/>
      <w:szCs w:val="48"/>
      <w:lang w:eastAsia="ru-RU"/>
    </w:rPr>
  </w:style>
  <w:style w:type="character" w:styleId="789" w:customStyle="1">
    <w:name w:val="Название Знак"/>
    <w:basedOn w:val="741"/>
    <w:link w:val="788"/>
    <w:uiPriority w:val="99"/>
    <w:pPr>
      <w:pBdr/>
      <w:spacing/>
      <w:ind/>
    </w:pPr>
    <w:rPr>
      <w:rFonts w:cs="Times New Roman"/>
      <w:sz w:val="48"/>
    </w:rPr>
  </w:style>
  <w:style w:type="paragraph" w:styleId="790">
    <w:name w:val="Subtitle"/>
    <w:basedOn w:val="740"/>
    <w:link w:val="791"/>
    <w:uiPriority w:val="99"/>
    <w:qFormat/>
    <w:pPr>
      <w:pBdr/>
      <w:spacing w:after="200" w:before="200"/>
      <w:ind/>
    </w:pPr>
    <w:rPr>
      <w:sz w:val="24"/>
      <w:szCs w:val="24"/>
      <w:lang w:eastAsia="ru-RU"/>
    </w:rPr>
  </w:style>
  <w:style w:type="character" w:styleId="791" w:customStyle="1">
    <w:name w:val="Подзаголовок Знак"/>
    <w:basedOn w:val="741"/>
    <w:link w:val="790"/>
    <w:uiPriority w:val="99"/>
    <w:pPr>
      <w:pBdr/>
      <w:spacing/>
      <w:ind/>
    </w:pPr>
    <w:rPr>
      <w:rFonts w:cs="Times New Roman"/>
      <w:sz w:val="24"/>
    </w:rPr>
  </w:style>
  <w:style w:type="paragraph" w:styleId="792">
    <w:name w:val="Quote"/>
    <w:basedOn w:val="740"/>
    <w:link w:val="793"/>
    <w:uiPriority w:val="99"/>
    <w:qFormat/>
    <w:pPr>
      <w:pBdr/>
      <w:spacing/>
      <w:ind w:right="720" w:left="720"/>
    </w:pPr>
    <w:rPr>
      <w:i/>
      <w:lang w:eastAsia="ru-RU"/>
    </w:rPr>
  </w:style>
  <w:style w:type="character" w:styleId="793" w:customStyle="1">
    <w:name w:val="Цитата 2 Знак"/>
    <w:basedOn w:val="741"/>
    <w:link w:val="792"/>
    <w:uiPriority w:val="99"/>
    <w:pPr>
      <w:pBdr/>
      <w:spacing/>
      <w:ind/>
    </w:pPr>
    <w:rPr>
      <w:rFonts w:cs="Times New Roman"/>
      <w:i/>
      <w:lang w:val="ru-RU" w:eastAsia="zh-CN"/>
    </w:rPr>
  </w:style>
  <w:style w:type="paragraph" w:styleId="794">
    <w:name w:val="Intense Quote"/>
    <w:basedOn w:val="740"/>
    <w:link w:val="795"/>
    <w:uiPriority w:val="99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</w:pPr>
    <w:rPr>
      <w:i/>
      <w:lang w:eastAsia="ru-RU"/>
    </w:rPr>
  </w:style>
  <w:style w:type="character" w:styleId="795" w:customStyle="1">
    <w:name w:val="Выделенная цитата Знак"/>
    <w:basedOn w:val="741"/>
    <w:link w:val="794"/>
    <w:uiPriority w:val="99"/>
    <w:pPr>
      <w:pBdr/>
      <w:spacing/>
      <w:ind/>
    </w:pPr>
    <w:rPr>
      <w:rFonts w:cs="Times New Roman"/>
      <w:i/>
      <w:shd w:val="clear" w:color="auto" w:fill="f2f2f2"/>
      <w:lang w:val="ru-RU" w:eastAsia="zh-CN"/>
    </w:rPr>
  </w:style>
  <w:style w:type="paragraph" w:styleId="796" w:customStyle="1">
    <w:name w:val="Header1"/>
    <w:link w:val="797"/>
    <w:uiPriority w:val="99"/>
    <w:pPr>
      <w:pBdr/>
      <w:tabs>
        <w:tab w:val="center" w:leader="none" w:pos="7143"/>
        <w:tab w:val="right" w:leader="none" w:pos="14287"/>
      </w:tabs>
      <w:spacing/>
      <w:ind/>
    </w:pPr>
    <w:rPr>
      <w:lang w:eastAsia="zh-CN"/>
    </w:rPr>
  </w:style>
  <w:style w:type="character" w:styleId="797" w:customStyle="1">
    <w:name w:val="Header Char"/>
    <w:link w:val="796"/>
    <w:uiPriority w:val="99"/>
    <w:pPr>
      <w:pBdr/>
      <w:spacing/>
      <w:ind/>
    </w:pPr>
    <w:rPr>
      <w:sz w:val="22"/>
      <w:lang w:val="ru-RU" w:eastAsia="zh-CN"/>
    </w:rPr>
  </w:style>
  <w:style w:type="paragraph" w:styleId="798" w:customStyle="1">
    <w:name w:val="Footer1"/>
    <w:link w:val="801"/>
    <w:uiPriority w:val="99"/>
    <w:pPr>
      <w:pBdr/>
      <w:tabs>
        <w:tab w:val="center" w:leader="none" w:pos="7143"/>
        <w:tab w:val="right" w:leader="none" w:pos="14287"/>
      </w:tabs>
      <w:spacing/>
      <w:ind/>
    </w:pPr>
    <w:rPr>
      <w:lang w:eastAsia="zh-CN"/>
    </w:rPr>
  </w:style>
  <w:style w:type="character" w:styleId="799" w:customStyle="1">
    <w:name w:val="Footer Char"/>
    <w:uiPriority w:val="99"/>
    <w:pPr>
      <w:pBdr/>
      <w:spacing/>
      <w:ind/>
    </w:pPr>
  </w:style>
  <w:style w:type="paragraph" w:styleId="800" w:customStyle="1">
    <w:name w:val="Caption1"/>
    <w:uiPriority w:val="99"/>
    <w:semiHidden/>
    <w:pPr>
      <w:pBdr/>
      <w:spacing w:line="276" w:lineRule="auto"/>
      <w:ind/>
    </w:pPr>
    <w:rPr>
      <w:b/>
      <w:bCs/>
      <w:color w:val="4f81bd"/>
      <w:sz w:val="18"/>
      <w:szCs w:val="18"/>
      <w:lang w:eastAsia="zh-CN"/>
    </w:rPr>
  </w:style>
  <w:style w:type="character" w:styleId="801" w:customStyle="1">
    <w:name w:val="Caption Char"/>
    <w:link w:val="798"/>
    <w:uiPriority w:val="99"/>
    <w:pPr>
      <w:pBdr/>
      <w:spacing/>
      <w:ind/>
    </w:pPr>
    <w:rPr>
      <w:sz w:val="22"/>
      <w:lang w:val="ru-RU" w:eastAsia="zh-CN"/>
    </w:rPr>
  </w:style>
  <w:style w:type="table" w:styleId="802">
    <w:name w:val="Table Grid"/>
    <w:basedOn w:val="742"/>
    <w:uiPriority w:val="99"/>
    <w:pPr>
      <w:pBdr/>
      <w:spacing/>
      <w:ind/>
    </w:pPr>
    <w:rPr>
      <w:sz w:val="20"/>
      <w:szCs w:val="20"/>
      <w:lang w:eastAsia="zh-CN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3" w:customStyle="1">
    <w:name w:val="Table Grid Light"/>
    <w:uiPriority w:val="99"/>
    <w:pPr>
      <w:pBdr/>
      <w:spacing/>
      <w:ind/>
    </w:pPr>
    <w:rPr>
      <w:sz w:val="20"/>
      <w:szCs w:val="20"/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 w:customStyle="1">
    <w:name w:val="Plain Table 1"/>
    <w:uiPriority w:val="99"/>
    <w:pPr>
      <w:pBdr/>
      <w:spacing/>
      <w:ind/>
    </w:pPr>
    <w:rPr>
      <w:sz w:val="20"/>
      <w:szCs w:val="20"/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5" w:customStyle="1">
    <w:name w:val="Plain Table 2"/>
    <w:uiPriority w:val="99"/>
    <w:pPr>
      <w:pBdr/>
      <w:spacing/>
      <w:ind/>
    </w:pPr>
    <w:rPr>
      <w:sz w:val="20"/>
      <w:szCs w:val="20"/>
      <w:lang w:eastAsia="zh-CN"/>
    </w:rPr>
    <w:tblPr>
      <w:tblInd w:w="0" w:type="dxa"/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6" w:customStyle="1">
    <w:name w:val="Plain Table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7" w:customStyle="1">
    <w:name w:val="Plain Table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8" w:customStyle="1">
    <w:name w:val="Plain Table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9" w:customStyle="1">
    <w:name w:val="Grid Table 1 Light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0" w:customStyle="1">
    <w:name w:val="Grid Table 1 Light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1" w:customStyle="1">
    <w:name w:val="Grid Table 1 Light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 w:customStyle="1">
    <w:name w:val="Grid Table 1 Light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 w:customStyle="1">
    <w:name w:val="Grid Table 1 Light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 w:customStyle="1">
    <w:name w:val="Grid Table 1 Light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 w:customStyle="1">
    <w:name w:val="Grid Table 1 Light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 w:customStyle="1">
    <w:name w:val="Grid Table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 w:customStyle="1">
    <w:name w:val="Grid Table 2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 w:customStyle="1">
    <w:name w:val="Grid Table 2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 w:customStyle="1">
    <w:name w:val="Grid Table 2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 w:customStyle="1">
    <w:name w:val="Grid Table 2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 w:customStyle="1">
    <w:name w:val="Grid Table 2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2" w:customStyle="1">
    <w:name w:val="Grid Table 2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3" w:customStyle="1">
    <w:name w:val="Grid Table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4" w:customStyle="1">
    <w:name w:val="Grid Table 3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5" w:customStyle="1">
    <w:name w:val="Grid Table 3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6" w:customStyle="1">
    <w:name w:val="Grid Table 3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7" w:customStyle="1">
    <w:name w:val="Grid Table 3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8" w:customStyle="1">
    <w:name w:val="Grid Table 3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9" w:customStyle="1">
    <w:name w:val="Grid Table 3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0" w:customStyle="1">
    <w:name w:val="Grid Table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1" w:customStyle="1">
    <w:name w:val="Grid Table 4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2" w:customStyle="1">
    <w:name w:val="Grid Table 4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3" w:customStyle="1">
    <w:name w:val="Grid Table 4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4" w:customStyle="1">
    <w:name w:val="Grid Table 4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5" w:customStyle="1">
    <w:name w:val="Grid Table 4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6" w:customStyle="1">
    <w:name w:val="Grid Table 4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7" w:customStyle="1">
    <w:name w:val="Grid Table 5 Dark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8" w:customStyle="1">
    <w:name w:val="Grid Table 5 Dark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9" w:customStyle="1">
    <w:name w:val="Grid Table 5 Dark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0" w:customStyle="1">
    <w:name w:val="Grid Table 5 Dark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1" w:customStyle="1">
    <w:name w:val="Grid Table 5 Dark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2" w:customStyle="1">
    <w:name w:val="Grid Table 5 Dark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3" w:customStyle="1">
    <w:name w:val="Grid Table 5 Dark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4" w:customStyle="1">
    <w:name w:val="Grid Table 6 Colorful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5" w:customStyle="1">
    <w:name w:val="Grid Table 6 Colorful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6" w:customStyle="1">
    <w:name w:val="Grid Table 6 Colorful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7" w:customStyle="1">
    <w:name w:val="Grid Table 6 Colorful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8" w:customStyle="1">
    <w:name w:val="Grid Table 6 Colorful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9" w:customStyle="1">
    <w:name w:val="Grid Table 6 Colorful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0" w:customStyle="1">
    <w:name w:val="Grid Table 6 Colorful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1" w:customStyle="1">
    <w:name w:val="Grid Table 7 Colorful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2" w:customStyle="1">
    <w:name w:val="Grid Table 7 Colorful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3" w:customStyle="1">
    <w:name w:val="Grid Table 7 Colorful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4" w:customStyle="1">
    <w:name w:val="Grid Table 7 Colorful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5" w:customStyle="1">
    <w:name w:val="Grid Table 7 Colorful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6" w:customStyle="1">
    <w:name w:val="Grid Table 7 Colorful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7" w:customStyle="1">
    <w:name w:val="Grid Table 7 Colorful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8" w:customStyle="1">
    <w:name w:val="List Table 1 Light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9" w:customStyle="1">
    <w:name w:val="List Table 1 Light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0" w:customStyle="1">
    <w:name w:val="List Table 1 Light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1" w:customStyle="1">
    <w:name w:val="List Table 1 Light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2" w:customStyle="1">
    <w:name w:val="List Table 1 Light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3" w:customStyle="1">
    <w:name w:val="List Table 1 Light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4" w:customStyle="1">
    <w:name w:val="List Table 1 Light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5" w:customStyle="1">
    <w:name w:val="List Table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6" w:customStyle="1">
    <w:name w:val="List Table 2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7" w:customStyle="1">
    <w:name w:val="List Table 2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8" w:customStyle="1">
    <w:name w:val="List Table 2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9" w:customStyle="1">
    <w:name w:val="List Table 2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0" w:customStyle="1">
    <w:name w:val="List Table 2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1" w:customStyle="1">
    <w:name w:val="List Table 2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2" w:customStyle="1">
    <w:name w:val="List Table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3" w:customStyle="1">
    <w:name w:val="List Table 3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4" w:customStyle="1">
    <w:name w:val="List Table 3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5" w:customStyle="1">
    <w:name w:val="List Table 3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6" w:customStyle="1">
    <w:name w:val="List Table 3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7" w:customStyle="1">
    <w:name w:val="List Table 3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8" w:customStyle="1">
    <w:name w:val="List Table 3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9" w:customStyle="1">
    <w:name w:val="List Table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0" w:customStyle="1">
    <w:name w:val="List Table 4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1" w:customStyle="1">
    <w:name w:val="List Table 4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2" w:customStyle="1">
    <w:name w:val="List Table 4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3" w:customStyle="1">
    <w:name w:val="List Table 4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4" w:customStyle="1">
    <w:name w:val="List Table 4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5" w:customStyle="1">
    <w:name w:val="List Table 4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6" w:customStyle="1">
    <w:name w:val="List Table 5 Dark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7" w:customStyle="1">
    <w:name w:val="List Table 5 Dark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8" w:customStyle="1">
    <w:name w:val="List Table 5 Dark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9" w:customStyle="1">
    <w:name w:val="List Table 5 Dark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0" w:customStyle="1">
    <w:name w:val="List Table 5 Dark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1" w:customStyle="1">
    <w:name w:val="List Table 5 Dark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2" w:customStyle="1">
    <w:name w:val="List Table 5 Dark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3" w:customStyle="1">
    <w:name w:val="List Table 6 Colorful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4" w:customStyle="1">
    <w:name w:val="List Table 6 Colorful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5" w:customStyle="1">
    <w:name w:val="List Table 6 Colorful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6" w:customStyle="1">
    <w:name w:val="List Table 6 Colorful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7" w:customStyle="1">
    <w:name w:val="List Table 6 Colorful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8" w:customStyle="1">
    <w:name w:val="List Table 6 Colorful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9" w:customStyle="1">
    <w:name w:val="List Table 6 Colorful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0" w:customStyle="1">
    <w:name w:val="List Table 7 Colorful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1" w:customStyle="1">
    <w:name w:val="List Table 7 Colorful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2" w:customStyle="1">
    <w:name w:val="List Table 7 Colorful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3" w:customStyle="1">
    <w:name w:val="List Table 7 Colorful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4" w:customStyle="1">
    <w:name w:val="List Table 7 Colorful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5" w:customStyle="1">
    <w:name w:val="List Table 7 Colorful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6" w:customStyle="1">
    <w:name w:val="List Table 7 Colorful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7" w:customStyle="1">
    <w:name w:val="Lined - Accent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8" w:customStyle="1">
    <w:name w:val="Lined - Accent 1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9" w:customStyle="1">
    <w:name w:val="Lined - Accent 2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0" w:customStyle="1">
    <w:name w:val="Lined - Accent 3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1" w:customStyle="1">
    <w:name w:val="Lined - Accent 4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2" w:customStyle="1">
    <w:name w:val="Lined - Accent 5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3" w:customStyle="1">
    <w:name w:val="Lined - Accent 6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4" w:customStyle="1">
    <w:name w:val="Bordered &amp; Lined - Accent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5" w:customStyle="1">
    <w:name w:val="Bordered &amp; Lined - Accent 1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6" w:customStyle="1">
    <w:name w:val="Bordered &amp; Lined - Accent 2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7" w:customStyle="1">
    <w:name w:val="Bordered &amp; Lined - Accent 3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8" w:customStyle="1">
    <w:name w:val="Bordered &amp; Lined - Accent 4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9" w:customStyle="1">
    <w:name w:val="Bordered &amp; Lined - Accent 5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0" w:customStyle="1">
    <w:name w:val="Bordered &amp; Lined - Accent 6"/>
    <w:uiPriority w:val="99"/>
    <w:pPr>
      <w:pBdr/>
      <w:spacing/>
      <w:ind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1" w:customStyle="1">
    <w:name w:val="Bordered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2" w:customStyle="1">
    <w:name w:val="Bordered - Accent 1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3" w:customStyle="1">
    <w:name w:val="Bordered - Accent 2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4" w:customStyle="1">
    <w:name w:val="Bordered - Accent 3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5" w:customStyle="1">
    <w:name w:val="Bordered - Accent 4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6" w:customStyle="1">
    <w:name w:val="Bordered - Accent 5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7" w:customStyle="1">
    <w:name w:val="Bordered - Accent 6"/>
    <w:uiPriority w:val="99"/>
    <w:pPr>
      <w:pBdr/>
      <w:spacing/>
      <w:ind/>
    </w:pPr>
    <w:rPr>
      <w:sz w:val="20"/>
      <w:szCs w:val="20"/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928">
    <w:name w:val="Hyperlink"/>
    <w:basedOn w:val="741"/>
    <w:uiPriority w:val="99"/>
    <w:pPr>
      <w:pBdr/>
      <w:spacing/>
      <w:ind/>
    </w:pPr>
    <w:rPr>
      <w:rFonts w:cs="Times New Roman"/>
      <w:color w:val="0000ff"/>
      <w:u w:val="single"/>
    </w:rPr>
  </w:style>
  <w:style w:type="paragraph" w:styleId="929">
    <w:name w:val="footnote text"/>
    <w:basedOn w:val="740"/>
    <w:link w:val="930"/>
    <w:uiPriority w:val="99"/>
    <w:semiHidden/>
    <w:pPr>
      <w:pBdr/>
      <w:spacing w:after="40"/>
      <w:ind/>
    </w:pPr>
    <w:rPr>
      <w:sz w:val="18"/>
      <w:lang w:eastAsia="ru-RU"/>
    </w:rPr>
  </w:style>
  <w:style w:type="character" w:styleId="930" w:customStyle="1">
    <w:name w:val="Текст сноски Знак"/>
    <w:basedOn w:val="741"/>
    <w:link w:val="929"/>
    <w:uiPriority w:val="99"/>
    <w:semiHidden/>
    <w:pPr>
      <w:pBdr/>
      <w:spacing/>
      <w:ind/>
    </w:pPr>
    <w:rPr>
      <w:rFonts w:cs="Times New Roman"/>
      <w:sz w:val="18"/>
    </w:rPr>
  </w:style>
  <w:style w:type="character" w:styleId="931">
    <w:name w:val="footnote reference"/>
    <w:basedOn w:val="741"/>
    <w:uiPriority w:val="99"/>
    <w:pPr>
      <w:pBdr/>
      <w:spacing/>
      <w:ind/>
    </w:pPr>
    <w:rPr>
      <w:rFonts w:cs="Times New Roman"/>
      <w:vertAlign w:val="superscript"/>
    </w:rPr>
  </w:style>
  <w:style w:type="paragraph" w:styleId="932">
    <w:name w:val="endnote text"/>
    <w:basedOn w:val="740"/>
    <w:link w:val="933"/>
    <w:uiPriority w:val="99"/>
    <w:semiHidden/>
    <w:pPr>
      <w:pBdr/>
      <w:spacing/>
      <w:ind/>
    </w:pPr>
    <w:rPr>
      <w:lang w:eastAsia="ru-RU"/>
    </w:rPr>
  </w:style>
  <w:style w:type="character" w:styleId="933" w:customStyle="1">
    <w:name w:val="Текст концевой сноски Знак"/>
    <w:basedOn w:val="741"/>
    <w:link w:val="932"/>
    <w:uiPriority w:val="99"/>
    <w:semiHidden/>
    <w:pPr>
      <w:pBdr/>
      <w:spacing/>
      <w:ind/>
    </w:pPr>
    <w:rPr>
      <w:rFonts w:cs="Times New Roman"/>
      <w:lang w:val="ru-RU" w:eastAsia="zh-CN"/>
    </w:rPr>
  </w:style>
  <w:style w:type="character" w:styleId="934">
    <w:name w:val="endnote reference"/>
    <w:basedOn w:val="741"/>
    <w:uiPriority w:val="99"/>
    <w:semiHidden/>
    <w:pPr>
      <w:pBdr/>
      <w:spacing/>
      <w:ind/>
    </w:pPr>
    <w:rPr>
      <w:rFonts w:cs="Times New Roman"/>
      <w:vertAlign w:val="superscript"/>
    </w:rPr>
  </w:style>
  <w:style w:type="paragraph" w:styleId="935">
    <w:name w:val="toc 1"/>
    <w:basedOn w:val="740"/>
    <w:uiPriority w:val="99"/>
    <w:pPr>
      <w:pBdr/>
      <w:spacing w:after="57"/>
      <w:ind/>
    </w:pPr>
  </w:style>
  <w:style w:type="paragraph" w:styleId="936">
    <w:name w:val="toc 2"/>
    <w:basedOn w:val="740"/>
    <w:uiPriority w:val="99"/>
    <w:pPr>
      <w:pBdr/>
      <w:spacing w:after="57"/>
      <w:ind w:left="283"/>
    </w:pPr>
  </w:style>
  <w:style w:type="paragraph" w:styleId="937">
    <w:name w:val="toc 3"/>
    <w:basedOn w:val="740"/>
    <w:uiPriority w:val="99"/>
    <w:pPr>
      <w:pBdr/>
      <w:spacing w:after="57"/>
      <w:ind w:left="567"/>
    </w:pPr>
  </w:style>
  <w:style w:type="paragraph" w:styleId="938">
    <w:name w:val="toc 4"/>
    <w:basedOn w:val="740"/>
    <w:uiPriority w:val="99"/>
    <w:pPr>
      <w:pBdr/>
      <w:spacing w:after="57"/>
      <w:ind w:left="850"/>
    </w:pPr>
  </w:style>
  <w:style w:type="paragraph" w:styleId="939">
    <w:name w:val="toc 5"/>
    <w:basedOn w:val="740"/>
    <w:uiPriority w:val="99"/>
    <w:pPr>
      <w:pBdr/>
      <w:spacing w:after="57"/>
      <w:ind w:left="1134"/>
    </w:pPr>
  </w:style>
  <w:style w:type="paragraph" w:styleId="940">
    <w:name w:val="toc 6"/>
    <w:basedOn w:val="740"/>
    <w:uiPriority w:val="99"/>
    <w:pPr>
      <w:pBdr/>
      <w:spacing w:after="57"/>
      <w:ind w:left="1417"/>
    </w:pPr>
  </w:style>
  <w:style w:type="paragraph" w:styleId="941">
    <w:name w:val="toc 7"/>
    <w:basedOn w:val="740"/>
    <w:uiPriority w:val="99"/>
    <w:pPr>
      <w:pBdr/>
      <w:spacing w:after="57"/>
      <w:ind w:left="1701"/>
    </w:pPr>
  </w:style>
  <w:style w:type="paragraph" w:styleId="942">
    <w:name w:val="toc 8"/>
    <w:basedOn w:val="740"/>
    <w:uiPriority w:val="99"/>
    <w:pPr>
      <w:pBdr/>
      <w:spacing w:after="57"/>
      <w:ind w:left="1984"/>
    </w:pPr>
  </w:style>
  <w:style w:type="paragraph" w:styleId="943">
    <w:name w:val="toc 9"/>
    <w:basedOn w:val="740"/>
    <w:uiPriority w:val="99"/>
    <w:pPr>
      <w:pBdr/>
      <w:spacing w:after="57"/>
      <w:ind w:left="2268"/>
    </w:pPr>
  </w:style>
  <w:style w:type="paragraph" w:styleId="944">
    <w:name w:val="TOC Heading"/>
    <w:basedOn w:val="753"/>
    <w:uiPriority w:val="99"/>
    <w:qFormat/>
    <w:pPr>
      <w:keepNext w:val="false"/>
      <w:pBdr/>
      <w:spacing/>
      <w:ind w:left="0"/>
      <w:outlineLvl w:val="9"/>
    </w:pPr>
    <w:rPr>
      <w:rFonts w:ascii="Times New Roman" w:hAnsi="Times New Roman"/>
      <w:b w:val="0"/>
      <w:spacing w:val="0"/>
      <w:sz w:val="20"/>
    </w:rPr>
  </w:style>
  <w:style w:type="paragraph" w:styleId="945">
    <w:name w:val="table of figures"/>
    <w:basedOn w:val="740"/>
    <w:uiPriority w:val="99"/>
    <w:pPr>
      <w:pBdr/>
      <w:spacing/>
      <w:ind/>
    </w:pPr>
  </w:style>
  <w:style w:type="paragraph" w:styleId="946" w:customStyle="1">
    <w:name w:val="Header"/>
    <w:basedOn w:val="740"/>
    <w:link w:val="947"/>
    <w:uiPriority w:val="99"/>
    <w:pPr>
      <w:pBdr/>
      <w:tabs>
        <w:tab w:val="center" w:leader="none" w:pos="4153"/>
        <w:tab w:val="right" w:leader="none" w:pos="8306"/>
      </w:tabs>
      <w:spacing/>
      <w:ind/>
    </w:pPr>
  </w:style>
  <w:style w:type="character" w:styleId="947" w:customStyle="1">
    <w:name w:val="Верхний колонтитул Знак"/>
    <w:basedOn w:val="741"/>
    <w:link w:val="946"/>
    <w:uiPriority w:val="99"/>
    <w:pPr>
      <w:pBdr/>
      <w:spacing/>
      <w:ind/>
    </w:pPr>
    <w:rPr>
      <w:rFonts w:cs="Times New Roman"/>
      <w:sz w:val="20"/>
      <w:szCs w:val="20"/>
      <w:lang w:eastAsia="zh-CN"/>
    </w:rPr>
  </w:style>
  <w:style w:type="paragraph" w:styleId="948" w:customStyle="1">
    <w:name w:val="Footer"/>
    <w:basedOn w:val="740"/>
    <w:link w:val="949"/>
    <w:uiPriority w:val="99"/>
    <w:pPr>
      <w:pBdr/>
      <w:tabs>
        <w:tab w:val="center" w:leader="none" w:pos="4153"/>
        <w:tab w:val="right" w:leader="none" w:pos="8306"/>
      </w:tabs>
      <w:spacing/>
      <w:ind/>
    </w:pPr>
  </w:style>
  <w:style w:type="character" w:styleId="949" w:customStyle="1">
    <w:name w:val="Нижний колонтитул Знак"/>
    <w:basedOn w:val="741"/>
    <w:link w:val="948"/>
    <w:uiPriority w:val="99"/>
    <w:semiHidden/>
    <w:pPr>
      <w:pBdr/>
      <w:spacing/>
      <w:ind/>
    </w:pPr>
    <w:rPr>
      <w:rFonts w:cs="Times New Roman"/>
      <w:sz w:val="20"/>
      <w:szCs w:val="20"/>
      <w:lang w:eastAsia="zh-CN"/>
    </w:rPr>
  </w:style>
  <w:style w:type="character" w:styleId="950">
    <w:name w:val="page number"/>
    <w:basedOn w:val="741"/>
    <w:uiPriority w:val="99"/>
    <w:pPr>
      <w:pBdr/>
      <w:spacing/>
      <w:ind/>
    </w:pPr>
    <w:rPr>
      <w:rFonts w:cs="Times New Roman"/>
    </w:rPr>
  </w:style>
  <w:style w:type="paragraph" w:styleId="951">
    <w:name w:val="Body Text Indent"/>
    <w:basedOn w:val="740"/>
    <w:link w:val="952"/>
    <w:uiPriority w:val="99"/>
    <w:pPr>
      <w:pBdr/>
      <w:spacing w:line="360" w:lineRule="auto"/>
      <w:ind w:firstLine="720"/>
      <w:jc w:val="both"/>
    </w:pPr>
    <w:rPr>
      <w:sz w:val="28"/>
    </w:rPr>
  </w:style>
  <w:style w:type="character" w:styleId="952" w:customStyle="1">
    <w:name w:val="Основной текст с отступом Знак"/>
    <w:basedOn w:val="741"/>
    <w:link w:val="951"/>
    <w:uiPriority w:val="99"/>
    <w:semiHidden/>
    <w:pPr>
      <w:pBdr/>
      <w:spacing/>
      <w:ind/>
    </w:pPr>
    <w:rPr>
      <w:rFonts w:cs="Times New Roman"/>
      <w:sz w:val="20"/>
      <w:szCs w:val="20"/>
      <w:lang w:eastAsia="zh-CN"/>
    </w:rPr>
  </w:style>
  <w:style w:type="paragraph" w:styleId="953">
    <w:name w:val="Body Text"/>
    <w:basedOn w:val="740"/>
    <w:link w:val="954"/>
    <w:uiPriority w:val="99"/>
    <w:pPr>
      <w:pBdr/>
      <w:spacing w:line="240" w:lineRule="exact"/>
      <w:ind/>
      <w:jc w:val="both"/>
    </w:pPr>
    <w:rPr>
      <w:sz w:val="28"/>
    </w:rPr>
  </w:style>
  <w:style w:type="character" w:styleId="954" w:customStyle="1">
    <w:name w:val="Основной текст Знак"/>
    <w:basedOn w:val="741"/>
    <w:link w:val="953"/>
    <w:uiPriority w:val="99"/>
    <w:pPr>
      <w:pBdr/>
      <w:spacing/>
      <w:ind/>
    </w:pPr>
    <w:rPr>
      <w:rFonts w:cs="Times New Roman"/>
      <w:sz w:val="20"/>
      <w:szCs w:val="20"/>
      <w:lang w:eastAsia="zh-CN"/>
    </w:rPr>
  </w:style>
  <w:style w:type="paragraph" w:styleId="955">
    <w:name w:val="Body Text 2"/>
    <w:basedOn w:val="740"/>
    <w:link w:val="956"/>
    <w:uiPriority w:val="99"/>
    <w:pPr>
      <w:pBdr/>
      <w:spacing w:line="240" w:lineRule="exact"/>
      <w:ind/>
    </w:pPr>
    <w:rPr>
      <w:sz w:val="28"/>
      <w:lang w:val="en-US"/>
    </w:rPr>
  </w:style>
  <w:style w:type="character" w:styleId="956" w:customStyle="1">
    <w:name w:val="Основной текст 2 Знак"/>
    <w:basedOn w:val="741"/>
    <w:link w:val="955"/>
    <w:uiPriority w:val="99"/>
    <w:semiHidden/>
    <w:pPr>
      <w:pBdr/>
      <w:spacing/>
      <w:ind/>
    </w:pPr>
    <w:rPr>
      <w:rFonts w:cs="Times New Roman"/>
      <w:sz w:val="20"/>
      <w:szCs w:val="20"/>
      <w:lang w:eastAsia="zh-CN"/>
    </w:rPr>
  </w:style>
  <w:style w:type="paragraph" w:styleId="957" w:customStyle="1">
    <w:name w:val="Caption"/>
    <w:basedOn w:val="740"/>
    <w:next w:val="740"/>
    <w:uiPriority w:val="99"/>
    <w:qFormat/>
    <w:pPr>
      <w:pBdr/>
      <w:spacing w:before="240"/>
      <w:ind/>
      <w:jc w:val="center"/>
    </w:pPr>
    <w:rPr>
      <w:smallCaps/>
      <w:spacing w:val="40"/>
      <w:sz w:val="28"/>
    </w:rPr>
  </w:style>
  <w:style w:type="paragraph" w:styleId="958">
    <w:name w:val="Document Map"/>
    <w:basedOn w:val="740"/>
    <w:link w:val="959"/>
    <w:uiPriority w:val="99"/>
    <w:semiHidden/>
    <w:pPr>
      <w:pBdr/>
      <w:shd w:val="clear" w:color="auto" w:fill="000080"/>
      <w:spacing/>
      <w:ind/>
    </w:pPr>
    <w:rPr>
      <w:rFonts w:ascii="Tahoma" w:hAnsi="Tahoma"/>
    </w:rPr>
  </w:style>
  <w:style w:type="character" w:styleId="959" w:customStyle="1">
    <w:name w:val="Схема документа Знак"/>
    <w:basedOn w:val="741"/>
    <w:link w:val="958"/>
    <w:uiPriority w:val="99"/>
    <w:semiHidden/>
    <w:pPr>
      <w:pBdr/>
      <w:spacing/>
      <w:ind/>
    </w:pPr>
    <w:rPr>
      <w:rFonts w:cs="Times New Roman"/>
      <w:sz w:val="2"/>
      <w:lang w:eastAsia="zh-CN"/>
    </w:rPr>
  </w:style>
  <w:style w:type="paragraph" w:styleId="960">
    <w:name w:val="Balloon Text"/>
    <w:basedOn w:val="740"/>
    <w:link w:val="961"/>
    <w:uiPriority w:val="99"/>
    <w:semiHidden/>
    <w:pPr>
      <w:pBdr/>
      <w:spacing/>
      <w:ind/>
    </w:pPr>
    <w:rPr>
      <w:rFonts w:ascii="Tahoma" w:hAnsi="Tahoma"/>
      <w:sz w:val="16"/>
      <w:szCs w:val="16"/>
    </w:rPr>
  </w:style>
  <w:style w:type="character" w:styleId="961" w:customStyle="1">
    <w:name w:val="Текст выноски Знак"/>
    <w:basedOn w:val="741"/>
    <w:link w:val="960"/>
    <w:uiPriority w:val="99"/>
    <w:semiHidden/>
    <w:pPr>
      <w:pBdr/>
      <w:spacing/>
      <w:ind/>
    </w:pPr>
    <w:rPr>
      <w:rFonts w:cs="Times New Roman"/>
      <w:sz w:val="2"/>
      <w:lang w:eastAsia="zh-CN"/>
    </w:rPr>
  </w:style>
  <w:style w:type="paragraph" w:styleId="962" w:customStyle="1">
    <w:name w:val="ConsPlusCell"/>
    <w:uiPriority w:val="99"/>
    <w:pPr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pacing/>
      <w:ind/>
    </w:pPr>
    <w:rPr>
      <w:sz w:val="28"/>
      <w:szCs w:val="28"/>
    </w:rPr>
  </w:style>
  <w:style w:type="character" w:styleId="963" w:customStyle="1">
    <w:name w:val="Основной текст (2)_"/>
    <w:link w:val="964"/>
    <w:uiPriority w:val="99"/>
    <w:pPr>
      <w:pBdr/>
      <w:spacing/>
      <w:ind/>
    </w:pPr>
    <w:rPr>
      <w:sz w:val="28"/>
      <w:shd w:val="clear" w:color="auto" w:fill="ffffff"/>
    </w:rPr>
  </w:style>
  <w:style w:type="paragraph" w:styleId="964" w:customStyle="1">
    <w:name w:val="Основной текст (2)1"/>
    <w:basedOn w:val="740"/>
    <w:link w:val="963"/>
    <w:uiPriority w:val="99"/>
    <w:pPr>
      <w:widowControl w:val="false"/>
      <w:pBdr/>
      <w:shd w:val="clear" w:color="auto" w:fill="ffffff"/>
      <w:spacing w:before="420" w:line="320" w:lineRule="exact"/>
      <w:ind/>
      <w:jc w:val="both"/>
    </w:pPr>
    <w:rPr>
      <w:sz w:val="28"/>
      <w:lang w:eastAsia="ko-KR"/>
    </w:rPr>
  </w:style>
  <w:style w:type="paragraph" w:styleId="965" w:customStyle="1">
    <w:name w:val="ConsPlusNormal"/>
    <w:uiPriority w:val="99"/>
    <w:pPr>
      <w:pBdr/>
      <w:spacing/>
      <w:ind/>
    </w:pPr>
    <w:rPr>
      <w:rFonts w:ascii="Arial" w:hAnsi="Arial" w:cs="Arial"/>
      <w:sz w:val="20"/>
      <w:szCs w:val="20"/>
    </w:rPr>
  </w:style>
  <w:style w:type="character" w:styleId="966" w:customStyle="1">
    <w:name w:val="Основной текст (3)_"/>
    <w:link w:val="967"/>
    <w:uiPriority w:val="99"/>
    <w:pPr>
      <w:pBdr/>
      <w:spacing/>
      <w:ind/>
    </w:pPr>
    <w:rPr>
      <w:b/>
      <w:sz w:val="28"/>
      <w:shd w:val="clear" w:color="auto" w:fill="ffffff"/>
    </w:rPr>
  </w:style>
  <w:style w:type="paragraph" w:styleId="967" w:customStyle="1">
    <w:name w:val="Основной текст (3)1"/>
    <w:basedOn w:val="740"/>
    <w:link w:val="966"/>
    <w:uiPriority w:val="99"/>
    <w:pPr>
      <w:widowControl w:val="false"/>
      <w:pBdr/>
      <w:shd w:val="clear" w:color="auto" w:fill="ffffff"/>
      <w:spacing w:after="420" w:line="320" w:lineRule="exact"/>
      <w:ind/>
      <w:jc w:val="center"/>
    </w:pPr>
    <w:rPr>
      <w:b/>
      <w:sz w:val="28"/>
      <w:lang w:eastAsia="ko-KR"/>
    </w:rPr>
  </w:style>
  <w:style w:type="character" w:styleId="968" w:customStyle="1">
    <w:name w:val="Основной текст (3) + Не полужирный"/>
    <w:uiPriority w:val="99"/>
    <w:pPr>
      <w:pBdr/>
      <w:spacing/>
      <w:ind/>
    </w:pPr>
    <w:rPr>
      <w:rFonts w:ascii="Times New Roman" w:hAnsi="Times New Roman"/>
      <w:b/>
      <w:sz w:val="28"/>
      <w:u w:val="none"/>
    </w:rPr>
  </w:style>
  <w:style w:type="character" w:styleId="969" w:customStyle="1">
    <w:name w:val="Основной текст (2) + Полужирный"/>
    <w:uiPriority w:val="99"/>
    <w:pPr>
      <w:pBdr/>
      <w:spacing/>
      <w:ind/>
    </w:pPr>
    <w:rPr>
      <w:rFonts w:ascii="Times New Roman" w:hAnsi="Times New Roman"/>
      <w:b/>
      <w:sz w:val="28"/>
      <w:u w:val="none"/>
    </w:rPr>
  </w:style>
  <w:style w:type="paragraph" w:styleId="970" w:customStyle="1">
    <w:name w:val="Абзац списка1"/>
    <w:basedOn w:val="740"/>
    <w:uiPriority w:val="99"/>
    <w:pPr>
      <w:pBdr/>
      <w:spacing/>
      <w:ind w:left="720"/>
      <w:contextualSpacing w:val="true"/>
    </w:pPr>
    <w:rPr>
      <w:lang w:eastAsia="ru-RU"/>
    </w:rPr>
  </w:style>
  <w:style w:type="paragraph" w:styleId="971" w:customStyle="1">
    <w:name w:val="Body Text Indent 2"/>
    <w:uiPriority w:val="99"/>
    <w:semiHidden/>
    <w:unhideWhenUsed/>
    <w:pPr>
      <w:keepNext w:val="false"/>
      <w:keepLines w:val="false"/>
      <w:pageBreakBefore w:val="false"/>
      <w:widowControl w:val="true"/>
      <w:suppressLineNumbers w:val="false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after="120" w:afterAutospacing="0" w:before="0" w:beforeAutospacing="0" w:line="480" w:lineRule="auto"/>
      <w:ind w:right="0" w:firstLine="0" w:left="283"/>
      <w:contextualSpacing w:val="false"/>
      <w:jc w:val="left"/>
    </w:pPr>
    <w:rPr>
      <w:rFonts w:asciiTheme="minorHAnsi" w:hAnsiTheme="minorHAnsi" w:eastAsiaTheme="minorHAnsi" w:cstheme="minorBid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en-US" w:bidi="ar-SA"/>
      <w14:ligatures w14:val="none"/>
    </w:rPr>
  </w:style>
  <w:style w:type="paragraph" w:styleId="972" w:customStyle="1">
    <w:name w:val="Основной текст с отступом 2"/>
    <w:basedOn w:val="898"/>
    <w:next w:val="905"/>
    <w:link w:val="906"/>
    <w:uiPriority w:val="99"/>
    <w:pPr>
      <w:keepNext w:val="false"/>
      <w:keepLines w:val="false"/>
      <w:pageBreakBefore w:val="false"/>
      <w:widowControl w:val="true"/>
      <w:suppressLineNumbers w:val="false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after="120" w:afterAutospacing="0" w:before="0" w:beforeAutospacing="0" w:line="480" w:lineRule="auto"/>
      <w:ind w:right="0" w:firstLine="0" w:left="283"/>
      <w:contextualSpacing w:val="false"/>
      <w:jc w:val="left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73" w:customStyle="1">
    <w:name w:val="Абзац списка"/>
    <w:basedOn w:val="898"/>
    <w:next w:val="928"/>
    <w:link w:val="898"/>
    <w:uiPriority w:val="34"/>
    <w:qFormat/>
    <w:pPr>
      <w:keepNext w:val="false"/>
      <w:keepLines w:val="false"/>
      <w:pageBreakBefore w:val="false"/>
      <w:widowControl w:val="true"/>
      <w:suppressLineNumbers w:val="false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after="0" w:afterAutospacing="0" w:before="0" w:beforeAutospacing="0" w:line="240" w:lineRule="auto"/>
      <w:ind w:right="0" w:firstLine="0" w:left="720"/>
      <w:contextualSpacing w:val="true"/>
      <w:jc w:val="left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74" w:customStyle="1">
    <w:name w:val="Основной текст"/>
    <w:basedOn w:val="898"/>
    <w:next w:val="910"/>
    <w:link w:val="922"/>
    <w:pPr>
      <w:keepNext w:val="false"/>
      <w:keepLines w:val="false"/>
      <w:pageBreakBefore w:val="false"/>
      <w:widowControl w:val="true"/>
      <w:suppressLineNumbers w:val="false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after="120" w:afterAutospacing="0" w:before="0" w:beforeAutospacing="0" w:line="240" w:lineRule="auto"/>
      <w:ind w:right="0" w:firstLine="0" w:left="0"/>
      <w:contextualSpacing w:val="false"/>
      <w:jc w:val="left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75" w:customStyle="1">
    <w:name w:val="Текст примечания"/>
    <w:basedOn w:val="898"/>
    <w:next w:val="930"/>
    <w:link w:val="931"/>
    <w:uiPriority w:val="99"/>
    <w:unhideWhenUsed/>
    <w:pPr>
      <w:keepNext w:val="false"/>
      <w:keepLines w:val="false"/>
      <w:pageBreakBefore w:val="false"/>
      <w:widowControl w:val="true"/>
      <w:suppressLineNumbers w:val="false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after="0" w:afterAutospacing="0" w:before="0" w:beforeAutospacing="0" w:line="240" w:lineRule="auto"/>
      <w:ind w:right="0" w:firstLine="0" w:left="0"/>
      <w:contextualSpacing w:val="false"/>
      <w:jc w:val="left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character" w:styleId="976" w:customStyle="1">
    <w:name w:val="Font Style12"/>
    <w:next w:val="925"/>
    <w:link w:val="898"/>
    <w:pPr>
      <w:pBdr/>
      <w:spacing/>
      <w:ind/>
    </w:pPr>
    <w:rPr>
      <w:rFonts w:ascii="Times New Roman" w:hAnsi="Times New Roman"/>
      <w:sz w:val="26"/>
    </w:rPr>
  </w:style>
  <w:style w:type="paragraph" w:styleId="977" w:customStyle="1">
    <w:name w:val="formattext"/>
    <w:basedOn w:val="898"/>
    <w:next w:val="935"/>
    <w:link w:val="898"/>
    <w:pPr>
      <w:keepNext w:val="false"/>
      <w:keepLines w:val="false"/>
      <w:pageBreakBefore w:val="false"/>
      <w:widowControl w:val="true"/>
      <w:suppressLineNumbers w:val="false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after="100" w:afterAutospacing="1" w:before="100" w:beforeAutospacing="1" w:line="240" w:lineRule="auto"/>
      <w:ind w:right="0" w:firstLine="0" w:left="0"/>
      <w:contextualSpacing w:val="false"/>
      <w:jc w:val="left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78" w:customStyle="1">
    <w:name w:val="Обычный (веб)"/>
    <w:basedOn w:val="898"/>
    <w:next w:val="916"/>
    <w:link w:val="898"/>
    <w:pPr>
      <w:keepNext w:val="false"/>
      <w:keepLines w:val="false"/>
      <w:pageBreakBefore w:val="false"/>
      <w:widowControl w:val="true"/>
      <w:suppressLineNumbers w:val="false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after="100" w:afterAutospacing="1" w:before="100" w:beforeAutospacing="1" w:line="240" w:lineRule="auto"/>
      <w:ind w:right="0" w:firstLine="0" w:left="0"/>
      <w:contextualSpacing w:val="false"/>
      <w:jc w:val="left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character" w:styleId="979" w:customStyle="1">
    <w:name w:val="Строгий"/>
    <w:next w:val="917"/>
    <w:link w:val="898"/>
    <w:qFormat/>
    <w:pPr>
      <w:pBdr/>
      <w:spacing/>
      <w:ind/>
    </w:pPr>
    <w:rPr>
      <w:b/>
      <w:bCs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ONLYOFFICE/8.1.1.27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revision>28</cp:revision>
  <dcterms:created xsi:type="dcterms:W3CDTF">2022-12-21T04:12:00Z</dcterms:created>
  <dcterms:modified xsi:type="dcterms:W3CDTF">2025-03-27T02:12:57Z</dcterms:modified>
</cp:coreProperties>
</file>