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Bdr/>
        <w:spacing w:after="0" w:line="240" w:lineRule="auto"/>
        <w:ind/>
        <w:rPr/>
      </w:pPr>
      <w:r/>
      <w:r/>
    </w:p>
    <w:tbl>
      <w:tblPr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sz w:val="28"/>
                <w:szCs w:val="28"/>
              </w:rPr>
            </w:r>
            <w:r>
              <w:rPr>
                <w:rFonts w:ascii="Arial" w:hAnsi="Arial" w:eastAsia="Times New Roman" w:cs="Arial"/>
                <w:sz w:val="28"/>
                <w:szCs w:val="28"/>
              </w:rPr>
            </w:r>
          </w:p>
          <w:p>
            <w:pPr>
              <w:keepNext w:val="true"/>
              <w:widowControl w:val="fals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27.02.2025                                                                                                         № 395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after="0" w:line="240" w:lineRule="exact"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 от 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2123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уровня заработной платы и приведения методики формирования системы оплаты труда работников образовательных организаций, в соответствие с Федеральным законом от 29.12.2012 № 273-ФЗ «Об образовании в Российской Федерации», 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города Новоалтайск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82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1. </w:t>
      </w:r>
      <w:r>
        <w:rPr>
          <w:rStyle w:val="714"/>
          <w:sz w:val="28"/>
          <w:szCs w:val="28"/>
        </w:rPr>
        <w:t xml:space="preserve">Внести в постановление Администрации города Новоалтайска от </w:t>
      </w:r>
      <w:r>
        <w:rPr>
          <w:rStyle w:val="714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2123</w:t>
      </w:r>
      <w:r>
        <w:rPr>
          <w:rStyle w:val="714"/>
          <w:sz w:val="28"/>
          <w:szCs w:val="28"/>
        </w:rPr>
        <w:t xml:space="preserve"> «Об </w:t>
      </w:r>
      <w:r>
        <w:rPr>
          <w:rStyle w:val="714"/>
          <w:sz w:val="28"/>
          <w:szCs w:val="28"/>
        </w:rPr>
        <w:t xml:space="preserve">утверждении методики формирования и распределения фонда оплаты труда работников муниципальных </w:t>
      </w:r>
      <w:r>
        <w:rPr>
          <w:rStyle w:val="714"/>
          <w:sz w:val="28"/>
          <w:szCs w:val="28"/>
        </w:rPr>
        <w:t xml:space="preserve">бюджетных</w:t>
      </w:r>
      <w:r>
        <w:rPr>
          <w:rStyle w:val="714"/>
          <w:sz w:val="28"/>
          <w:szCs w:val="28"/>
        </w:rPr>
        <w:t xml:space="preserve"> образовательных организаций</w:t>
      </w:r>
      <w:r>
        <w:rPr>
          <w:rStyle w:val="714"/>
          <w:sz w:val="28"/>
          <w:szCs w:val="28"/>
        </w:rPr>
        <w:t xml:space="preserve"> дополнительного образования</w:t>
      </w:r>
      <w:r>
        <w:rPr>
          <w:rStyle w:val="714"/>
          <w:sz w:val="28"/>
          <w:szCs w:val="28"/>
        </w:rPr>
        <w:t xml:space="preserve">»</w:t>
      </w:r>
      <w:r>
        <w:rPr>
          <w:rStyle w:val="714"/>
          <w:sz w:val="28"/>
          <w:szCs w:val="28"/>
        </w:rPr>
        <w:t xml:space="preserve"> следующ</w:t>
      </w:r>
      <w:r>
        <w:rPr>
          <w:rStyle w:val="714"/>
          <w:sz w:val="28"/>
          <w:szCs w:val="28"/>
        </w:rPr>
        <w:t xml:space="preserve">е</w:t>
      </w:r>
      <w:r>
        <w:rPr>
          <w:rStyle w:val="714"/>
          <w:sz w:val="28"/>
          <w:szCs w:val="28"/>
        </w:rPr>
        <w:t xml:space="preserve">е</w:t>
      </w:r>
      <w:r>
        <w:rPr>
          <w:rStyle w:val="714"/>
          <w:sz w:val="28"/>
          <w:szCs w:val="28"/>
        </w:rPr>
        <w:t xml:space="preserve"> изменени</w:t>
      </w:r>
      <w:r>
        <w:rPr>
          <w:rStyle w:val="714"/>
          <w:sz w:val="28"/>
          <w:szCs w:val="28"/>
        </w:rPr>
        <w:t xml:space="preserve">е</w:t>
      </w:r>
      <w:r>
        <w:rPr>
          <w:rStyle w:val="714"/>
          <w:sz w:val="28"/>
          <w:szCs w:val="28"/>
        </w:rPr>
        <w:t xml:space="preserve">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Абзац </w:t>
      </w:r>
      <w:r>
        <w:rPr>
          <w:rStyle w:val="714"/>
          <w:sz w:val="28"/>
          <w:szCs w:val="28"/>
        </w:rPr>
        <w:t xml:space="preserve">семь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п</w:t>
      </w:r>
      <w:r>
        <w:rPr>
          <w:rStyle w:val="714"/>
          <w:sz w:val="28"/>
          <w:szCs w:val="28"/>
        </w:rPr>
        <w:t xml:space="preserve">ункт</w:t>
      </w:r>
      <w:r>
        <w:rPr>
          <w:rStyle w:val="714"/>
          <w:sz w:val="28"/>
          <w:szCs w:val="28"/>
        </w:rPr>
        <w:t xml:space="preserve">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8.4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Методики формирования и распределения фонда оплаты труда</w:t>
      </w:r>
      <w:r>
        <w:rPr>
          <w:rStyle w:val="714"/>
          <w:sz w:val="28"/>
          <w:szCs w:val="28"/>
        </w:rPr>
        <w:t xml:space="preserve"> работников</w:t>
      </w:r>
      <w:r>
        <w:rPr>
          <w:rStyle w:val="714"/>
          <w:sz w:val="28"/>
          <w:szCs w:val="28"/>
        </w:rPr>
        <w:t xml:space="preserve"> муниципальных</w:t>
      </w:r>
      <w:r>
        <w:rPr>
          <w:rStyle w:val="714"/>
          <w:sz w:val="28"/>
          <w:szCs w:val="28"/>
        </w:rPr>
        <w:t xml:space="preserve"> бюджетных</w:t>
      </w:r>
      <w:r>
        <w:rPr>
          <w:rStyle w:val="714"/>
          <w:sz w:val="28"/>
          <w:szCs w:val="28"/>
        </w:rPr>
        <w:t xml:space="preserve"> образовательных организаций</w:t>
      </w:r>
      <w:r>
        <w:rPr>
          <w:rStyle w:val="714"/>
          <w:sz w:val="28"/>
          <w:szCs w:val="28"/>
        </w:rPr>
        <w:t xml:space="preserve"> дополнительного образования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изложить в </w:t>
      </w:r>
      <w:r>
        <w:rPr>
          <w:rStyle w:val="714"/>
          <w:sz w:val="28"/>
          <w:szCs w:val="28"/>
        </w:rPr>
        <w:t xml:space="preserve">новой</w:t>
      </w:r>
      <w:r>
        <w:rPr>
          <w:rStyle w:val="714"/>
          <w:sz w:val="28"/>
          <w:szCs w:val="28"/>
        </w:rPr>
        <w:t xml:space="preserve"> редакции: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«</w:t>
      </w:r>
      <w:r>
        <w:rPr>
          <w:rStyle w:val="714"/>
          <w:sz w:val="28"/>
          <w:szCs w:val="28"/>
        </w:rPr>
        <w:t xml:space="preserve">Распределение централизованного фонда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стимулирования руководителей образовательных организаций состоит из ежем</w:t>
      </w:r>
      <w:r>
        <w:rPr>
          <w:rStyle w:val="714"/>
          <w:sz w:val="28"/>
          <w:szCs w:val="28"/>
        </w:rPr>
        <w:t xml:space="preserve">есячной выплаты за стаж работы и</w:t>
      </w:r>
      <w:r>
        <w:rPr>
          <w:rStyle w:val="714"/>
          <w:sz w:val="28"/>
          <w:szCs w:val="28"/>
        </w:rPr>
        <w:t xml:space="preserve"> ежемесячной выплаты за интенсивность и высокие результаты работы.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Стимулирующая часть </w:t>
      </w:r>
      <w:r>
        <w:rPr>
          <w:rStyle w:val="714"/>
          <w:sz w:val="28"/>
          <w:szCs w:val="28"/>
        </w:rPr>
        <w:t xml:space="preserve">осуществляется</w:t>
      </w:r>
      <w:r>
        <w:rPr>
          <w:rStyle w:val="714"/>
          <w:sz w:val="28"/>
          <w:szCs w:val="28"/>
        </w:rPr>
        <w:t xml:space="preserve"> с учетом целевых показателей эффективности деятельности образовательны</w:t>
      </w:r>
      <w:r>
        <w:rPr>
          <w:rStyle w:val="714"/>
          <w:sz w:val="28"/>
          <w:szCs w:val="28"/>
        </w:rPr>
        <w:t xml:space="preserve">х организаций и показателей эффективности деятельности руководителей, в соответствии с нормативным правовым актом Администрации города Новоалтайска. Указанные показатели включаются в трудовые договоры (эффективный контракт) с руководителями образовательных</w:t>
      </w:r>
      <w:r>
        <w:rPr>
          <w:rStyle w:val="714"/>
          <w:sz w:val="28"/>
          <w:szCs w:val="28"/>
        </w:rPr>
        <w:t xml:space="preserve"> организаций. Установление показателей эффективности и критериев оценки профессиональной деятельности руководителей осуществляется в соответствии с Постановлением Правительства Российской Федерации от 12.04.2013 № 329 «О типовой форме трудового договора с </w:t>
      </w:r>
      <w:r>
        <w:rPr>
          <w:rStyle w:val="714"/>
          <w:sz w:val="28"/>
          <w:szCs w:val="28"/>
        </w:rPr>
        <w:t xml:space="preserve">р</w:t>
      </w:r>
      <w:r>
        <w:rPr>
          <w:rStyle w:val="714"/>
          <w:sz w:val="28"/>
          <w:szCs w:val="28"/>
        </w:rPr>
        <w:t xml:space="preserve">уководителем государственного (муниципального) учреждения»; приказом Минтруда и социальной защиты Российской Федерации от 26.04.2013 № 167н </w:t>
      </w:r>
      <w:r>
        <w:rPr>
          <w:rStyle w:val="714"/>
          <w:sz w:val="28"/>
          <w:szCs w:val="28"/>
        </w:rPr>
        <w:t xml:space="preserve">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контракта»; письмом Минобрнауки от 20.06..2016 № АП – 10</w:t>
      </w:r>
      <w:r>
        <w:rPr>
          <w:rStyle w:val="714"/>
          <w:sz w:val="28"/>
          <w:szCs w:val="28"/>
        </w:rPr>
        <w:t xml:space="preserve">73/02 «О разработке показателей эффективности»; приложением 12 к приказу Главного управления образования и молодежной политике Алтайского края от 05.07.2013 № 3150 «Об утверждении целевых показателей эффективности деятельности руководителей краевых государ</w:t>
      </w:r>
      <w:r>
        <w:rPr>
          <w:rStyle w:val="714"/>
          <w:sz w:val="28"/>
          <w:szCs w:val="28"/>
        </w:rPr>
        <w:t xml:space="preserve">ственных бюджетных (казенных) образовательных учреждений»; письмом Главного управления образования и молодежной политики Алтайского края от 31.05.2013 № 02-06/061/358; письмом Главного управления образования и молодежной политики Алтайского края от 29.08.2</w:t>
      </w:r>
      <w:r>
        <w:rPr>
          <w:rStyle w:val="714"/>
          <w:sz w:val="28"/>
          <w:szCs w:val="28"/>
        </w:rPr>
        <w:t xml:space="preserve">013 № 006/061/550. При этом включаются показатели, оценивающие работу с обучающимися из</w:t>
      </w:r>
      <w:r>
        <w:rPr>
          <w:rStyle w:val="714"/>
          <w:sz w:val="28"/>
          <w:szCs w:val="28"/>
        </w:rPr>
        <w:t xml:space="preserve"> социально неблагополучных семей, осуществляемую, в соответствии с пунктом 2 «в» Указа Президента Российской Федерации от 07.05.2012 № 599 «О мерах по реализации государственной политики в области образования и науки».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Выплаты стимулирующего характера устанавливаются с учетом показателей и критериев, позволяющих оценить результативность и качество труда работников.</w:t>
      </w:r>
      <w:r>
        <w:rPr>
          <w:rStyle w:val="714"/>
          <w:sz w:val="28"/>
          <w:szCs w:val="28"/>
        </w:rPr>
        <w:t xml:space="preserve">»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2</w:t>
      </w:r>
      <w:r>
        <w:rPr>
          <w:rStyle w:val="714"/>
          <w:sz w:val="28"/>
          <w:szCs w:val="28"/>
        </w:rPr>
        <w:t xml:space="preserve">. Распространить действие </w:t>
      </w:r>
      <w:r>
        <w:rPr>
          <w:rStyle w:val="714"/>
          <w:sz w:val="28"/>
          <w:szCs w:val="28"/>
        </w:rPr>
        <w:t xml:space="preserve">настоящего</w:t>
      </w:r>
      <w:r>
        <w:rPr>
          <w:rStyle w:val="714"/>
          <w:sz w:val="28"/>
          <w:szCs w:val="28"/>
        </w:rPr>
        <w:t xml:space="preserve"> постановления на правоотношения, возникшие с </w:t>
      </w:r>
      <w:r>
        <w:rPr>
          <w:rStyle w:val="714"/>
          <w:sz w:val="28"/>
          <w:szCs w:val="28"/>
        </w:rPr>
        <w:t xml:space="preserve">01.01.2025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</w:r>
    </w:p>
    <w:p>
      <w:pPr>
        <w:pBdr/>
        <w:tabs>
          <w:tab w:val="left" w:leader="none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14"/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Бодунов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hd w:val="clear" w:color="auto" w:fill="ffffff"/>
        <w:tabs>
          <w:tab w:val="left" w:leader="none" w:pos="851"/>
          <w:tab w:val="left" w:leader="none" w:pos="5670"/>
          <w:tab w:val="left" w:leader="none" w:pos="6946"/>
          <w:tab w:val="left" w:leader="underscore" w:pos="7160"/>
        </w:tabs>
        <w:spacing/>
        <w:ind/>
        <w:jc w:val="both"/>
        <w:rPr>
          <w:rStyle w:val="714"/>
          <w:sz w:val="28"/>
          <w:szCs w:val="28"/>
        </w:rPr>
      </w:pPr>
      <w:r>
        <w:rPr>
          <w:sz w:val="28"/>
          <w:szCs w:val="28"/>
        </w:rPr>
      </w:r>
      <w:r>
        <w:rPr>
          <w:rStyle w:val="714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566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pBdr/>
      <w:spacing/>
      <w:ind w:firstLine="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 w:firstLine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/>
      <w:jc w:val="right"/>
      <w:rPr/>
    </w:pPr>
    <w:r/>
    <w:r/>
  </w:p>
  <w:p>
    <w:pPr>
      <w:pStyle w:val="72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395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440" w:left="2115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03"/>
    <w:next w:val="70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3"/>
    <w:next w:val="70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3"/>
    <w:next w:val="70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3"/>
    <w:next w:val="70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3"/>
    <w:next w:val="70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8"/>
    <w:link w:val="7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3"/>
    <w:next w:val="70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3"/>
    <w:next w:val="70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22"/>
    <w:uiPriority w:val="99"/>
    <w:pPr>
      <w:pBdr/>
      <w:spacing/>
      <w:ind/>
    </w:pPr>
  </w:style>
  <w:style w:type="character" w:styleId="178">
    <w:name w:val="Footer Char"/>
    <w:basedOn w:val="708"/>
    <w:link w:val="724"/>
    <w:uiPriority w:val="99"/>
    <w:pPr>
      <w:pBdr/>
      <w:spacing/>
      <w:ind/>
    </w:pPr>
  </w:style>
  <w:style w:type="paragraph" w:styleId="179">
    <w:name w:val="Caption"/>
    <w:basedOn w:val="703"/>
    <w:next w:val="7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3"/>
    <w:next w:val="703"/>
    <w:uiPriority w:val="99"/>
    <w:unhideWhenUsed/>
    <w:pPr>
      <w:pBdr/>
      <w:spacing w:after="0" w:afterAutospacing="0"/>
      <w:ind/>
    </w:pPr>
  </w:style>
  <w:style w:type="paragraph" w:styleId="703" w:default="1">
    <w:name w:val="Normal"/>
    <w:qFormat/>
    <w:pPr>
      <w:pBdr/>
      <w:spacing/>
      <w:ind/>
    </w:pPr>
  </w:style>
  <w:style w:type="paragraph" w:styleId="704">
    <w:name w:val="Heading 1"/>
    <w:basedOn w:val="703"/>
    <w:next w:val="703"/>
    <w:link w:val="711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05">
    <w:name w:val="Heading 2"/>
    <w:basedOn w:val="703"/>
    <w:next w:val="703"/>
    <w:link w:val="712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06">
    <w:name w:val="Heading 3"/>
    <w:basedOn w:val="703"/>
    <w:next w:val="703"/>
    <w:link w:val="713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07">
    <w:name w:val="Heading 4"/>
    <w:basedOn w:val="703"/>
    <w:next w:val="703"/>
    <w:link w:val="717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4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712" w:customStyle="1">
    <w:name w:val="Заголовок 2 Знак"/>
    <w:basedOn w:val="708"/>
    <w:link w:val="70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13" w:customStyle="1">
    <w:name w:val="Заголовок 3 Знак"/>
    <w:basedOn w:val="708"/>
    <w:link w:val="70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714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15">
    <w:name w:val="Subtitle"/>
    <w:basedOn w:val="703"/>
    <w:next w:val="703"/>
    <w:link w:val="716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6" w:customStyle="1">
    <w:name w:val="Подзаголовок Знак"/>
    <w:basedOn w:val="708"/>
    <w:link w:val="715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7" w:customStyle="1">
    <w:name w:val="Заголовок 4 Знак"/>
    <w:basedOn w:val="708"/>
    <w:link w:val="70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8">
    <w:name w:val="Title"/>
    <w:basedOn w:val="703"/>
    <w:next w:val="703"/>
    <w:link w:val="719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9" w:customStyle="1">
    <w:name w:val="Заголовок Знак"/>
    <w:basedOn w:val="708"/>
    <w:link w:val="71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0" w:customStyle="1">
    <w:name w:val="Нормальный (таблица)"/>
    <w:basedOn w:val="703"/>
    <w:next w:val="703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721" w:customStyle="1">
    <w:name w:val="Прижатый влево"/>
    <w:basedOn w:val="703"/>
    <w:next w:val="703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722">
    <w:name w:val="Header"/>
    <w:basedOn w:val="703"/>
    <w:link w:val="723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3" w:customStyle="1">
    <w:name w:val="Верхний колонтитул Знак"/>
    <w:basedOn w:val="708"/>
    <w:link w:val="722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724">
    <w:name w:val="Footer"/>
    <w:basedOn w:val="703"/>
    <w:link w:val="725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5" w:customStyle="1">
    <w:name w:val="Нижний колонтитул Знак"/>
    <w:basedOn w:val="708"/>
    <w:link w:val="724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726">
    <w:name w:val="Table Grid"/>
    <w:basedOn w:val="709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7">
    <w:name w:val="List Paragraph"/>
    <w:basedOn w:val="703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728">
    <w:name w:val="page number"/>
    <w:basedOn w:val="708"/>
    <w:pPr>
      <w:pBdr/>
      <w:spacing/>
      <w:ind/>
    </w:pPr>
  </w:style>
  <w:style w:type="paragraph" w:styleId="729" w:customStyle="1">
    <w:name w:val="Table Paragraph"/>
    <w:basedOn w:val="703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730">
    <w:name w:val="Body Text"/>
    <w:basedOn w:val="703"/>
    <w:link w:val="731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731" w:customStyle="1">
    <w:name w:val="Основной текст Знак"/>
    <w:basedOn w:val="708"/>
    <w:link w:val="730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E11C-0854-4529-97E7-1FB9876B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revision>41</cp:revision>
  <dcterms:created xsi:type="dcterms:W3CDTF">2021-09-22T02:22:00Z</dcterms:created>
  <dcterms:modified xsi:type="dcterms:W3CDTF">2025-02-27T09:15:55Z</dcterms:modified>
</cp:coreProperties>
</file>