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1" name="Рисунок 3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5pt;height:48.0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/>
        </w:rPr>
      </w:r>
      <w:r>
        <w:rPr>
          <w:rFonts w:ascii="Times New Roman" w:hAnsi="Times New Roman" w:eastAsia="Times New Roman" w:cs="Times New Roman"/>
          <w:sz w:val="20"/>
          <w:szCs w:val="20"/>
          <w:lang w:val="en-US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keepNext w:val="true"/>
              <w:pBdr/>
              <w:spacing w:after="0" w:line="240" w:lineRule="auto"/>
              <w:ind/>
              <w:jc w:val="center"/>
              <w:outlineLvl w:val="6"/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АЛТАЙСКОГО КРАЯ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sz w:val="28"/>
                <w:szCs w:val="28"/>
              </w:rPr>
            </w:r>
            <w:r>
              <w:rPr>
                <w:rFonts w:ascii="Arial" w:hAnsi="Arial" w:eastAsia="Times New Roman" w:cs="Arial"/>
                <w:sz w:val="28"/>
                <w:szCs w:val="28"/>
              </w:rPr>
            </w:r>
          </w:p>
          <w:p>
            <w:pPr>
              <w:keepNext w:val="true"/>
              <w:pBdr/>
              <w:spacing w:after="0" w:line="480" w:lineRule="auto"/>
              <w:ind/>
              <w:jc w:val="center"/>
              <w:outlineLvl w:val="1"/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26.02.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Новоалтайск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№ 361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Bdr/>
        <w:shd w:val="clear" w:color="auto" w:fill="ffffff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Новоалтайска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от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19.07.2019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№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1194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«Об утверждении методики формирования и распределения фонд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оплаты труда работников муниципальных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line="324" w:lineRule="exact"/>
        <w:ind w:firstLine="724" w:left="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 w:after="0"/>
        <w:ind w:firstLine="724" w:left="22"/>
        <w:jc w:val="both"/>
        <w:rPr>
          <w:rStyle w:val="7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поручений Президента Российской Федерации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Путина </w:t>
      </w:r>
      <w:r>
        <w:rPr>
          <w:rFonts w:ascii="Times New Roman" w:hAnsi="Times New Roman" w:cs="Times New Roman"/>
          <w:sz w:val="28"/>
          <w:szCs w:val="28"/>
        </w:rPr>
        <w:t xml:space="preserve">в части повышения доходов педагогических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отраслевой системы оплаты труда в соответствие с положениями Единых рекомендаций по установлению на федеральном, региональном и местном уровнях системы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на 2025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утвержденных Российской трехсторонней комиссией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от 23 декабря 2024 № 10-ПР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ю:</w:t>
      </w:r>
      <w:r>
        <w:rPr>
          <w:rStyle w:val="712"/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none" w:pos="993"/>
          <w:tab w:val="left" w:leader="underscore" w:pos="7160"/>
        </w:tabs>
        <w:spacing w:after="0"/>
        <w:ind w:firstLine="709"/>
        <w:jc w:val="both"/>
        <w:rPr>
          <w:rStyle w:val="707"/>
          <w:sz w:val="28"/>
          <w:szCs w:val="28"/>
        </w:rPr>
      </w:pPr>
      <w:r>
        <w:rPr>
          <w:rStyle w:val="707"/>
          <w:sz w:val="28"/>
          <w:szCs w:val="28"/>
        </w:rPr>
        <w:t xml:space="preserve">1. </w:t>
      </w:r>
      <w:r>
        <w:rPr>
          <w:rStyle w:val="707"/>
          <w:sz w:val="28"/>
          <w:szCs w:val="28"/>
        </w:rPr>
        <w:t xml:space="preserve"> </w:t>
      </w:r>
      <w:r>
        <w:rPr>
          <w:rStyle w:val="707"/>
          <w:sz w:val="28"/>
          <w:szCs w:val="28"/>
        </w:rPr>
        <w:t xml:space="preserve">Внести в постановление Администрации города Новоалтайска от 19.07.2019 № 1194 «Об утверждении методики формирования и распределения фонда оплаты труда работников муниципальных дошкольных образ</w:t>
      </w:r>
      <w:r>
        <w:rPr>
          <w:rStyle w:val="707"/>
          <w:sz w:val="28"/>
          <w:szCs w:val="28"/>
        </w:rPr>
        <w:t xml:space="preserve">овательных организаций» следующ</w:t>
      </w:r>
      <w:r>
        <w:rPr>
          <w:rStyle w:val="707"/>
          <w:sz w:val="28"/>
          <w:szCs w:val="28"/>
        </w:rPr>
        <w:t xml:space="preserve">е</w:t>
      </w:r>
      <w:r>
        <w:rPr>
          <w:rStyle w:val="707"/>
          <w:sz w:val="28"/>
          <w:szCs w:val="28"/>
        </w:rPr>
        <w:t xml:space="preserve">е изменени</w:t>
      </w:r>
      <w:r>
        <w:rPr>
          <w:rStyle w:val="707"/>
          <w:sz w:val="28"/>
          <w:szCs w:val="28"/>
        </w:rPr>
        <w:t xml:space="preserve">е</w:t>
      </w:r>
      <w:r>
        <w:rPr>
          <w:rStyle w:val="707"/>
          <w:sz w:val="28"/>
          <w:szCs w:val="28"/>
        </w:rPr>
        <w:t xml:space="preserve">:</w:t>
      </w:r>
      <w:r>
        <w:rPr>
          <w:rStyle w:val="707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/>
        <w:ind w:firstLine="709"/>
        <w:jc w:val="both"/>
        <w:rPr>
          <w:rStyle w:val="707"/>
          <w:color w:val="auto"/>
          <w:sz w:val="28"/>
          <w:szCs w:val="28"/>
        </w:rPr>
      </w:pPr>
      <w:r>
        <w:rPr>
          <w:rStyle w:val="707"/>
          <w:color w:val="auto"/>
          <w:sz w:val="28"/>
          <w:szCs w:val="28"/>
        </w:rPr>
        <w:t xml:space="preserve">1.1</w:t>
      </w:r>
      <w:r>
        <w:rPr>
          <w:rStyle w:val="707"/>
          <w:color w:val="auto"/>
          <w:sz w:val="28"/>
          <w:szCs w:val="28"/>
        </w:rPr>
        <w:t xml:space="preserve">. </w:t>
      </w:r>
      <w:r>
        <w:rPr>
          <w:rStyle w:val="707"/>
          <w:color w:val="auto"/>
          <w:sz w:val="28"/>
          <w:szCs w:val="28"/>
        </w:rPr>
        <w:t xml:space="preserve">приложение </w:t>
      </w:r>
      <w:r>
        <w:rPr>
          <w:rStyle w:val="707"/>
          <w:color w:val="auto"/>
          <w:sz w:val="28"/>
          <w:szCs w:val="28"/>
        </w:rPr>
        <w:t xml:space="preserve">1 к</w:t>
      </w:r>
      <w:r>
        <w:rPr>
          <w:rStyle w:val="707"/>
          <w:color w:val="auto"/>
          <w:sz w:val="28"/>
          <w:szCs w:val="28"/>
        </w:rPr>
        <w:t xml:space="preserve"> Методике формирования и </w:t>
      </w:r>
      <w:r>
        <w:rPr>
          <w:rStyle w:val="707"/>
          <w:color w:val="auto"/>
          <w:sz w:val="28"/>
          <w:szCs w:val="28"/>
        </w:rPr>
        <w:t xml:space="preserve">распределения </w:t>
      </w:r>
      <w:r>
        <w:rPr>
          <w:rStyle w:val="707"/>
          <w:color w:val="auto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оплаты труда работников муниципальных дошкольных образовательных организаций</w:t>
      </w:r>
      <w:r>
        <w:rPr>
          <w:rStyle w:val="707"/>
          <w:color w:val="auto"/>
          <w:sz w:val="28"/>
          <w:szCs w:val="28"/>
        </w:rPr>
        <w:t xml:space="preserve">, изложить согласно </w:t>
      </w:r>
      <w:r>
        <w:rPr>
          <w:rStyle w:val="707"/>
          <w:color w:val="auto"/>
          <w:sz w:val="28"/>
          <w:szCs w:val="28"/>
        </w:rPr>
        <w:t xml:space="preserve">п</w:t>
      </w:r>
      <w:r>
        <w:rPr>
          <w:rStyle w:val="707"/>
          <w:color w:val="auto"/>
          <w:sz w:val="28"/>
          <w:szCs w:val="28"/>
        </w:rPr>
        <w:t xml:space="preserve">риложени</w:t>
      </w:r>
      <w:r>
        <w:rPr>
          <w:rStyle w:val="707"/>
          <w:color w:val="auto"/>
          <w:sz w:val="28"/>
          <w:szCs w:val="28"/>
        </w:rPr>
        <w:t xml:space="preserve">ю</w:t>
      </w:r>
      <w:r>
        <w:rPr>
          <w:rStyle w:val="707"/>
          <w:color w:val="auto"/>
          <w:sz w:val="28"/>
          <w:szCs w:val="28"/>
        </w:rPr>
        <w:t xml:space="preserve"> 1 </w:t>
      </w:r>
      <w:r>
        <w:rPr>
          <w:rStyle w:val="707"/>
          <w:color w:val="auto"/>
          <w:sz w:val="28"/>
          <w:szCs w:val="28"/>
        </w:rPr>
        <w:t xml:space="preserve">к настоящему постановлению.</w:t>
      </w:r>
      <w:r>
        <w:rPr>
          <w:rStyle w:val="707"/>
          <w:color w:val="auto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none" w:pos="993"/>
          <w:tab w:val="left" w:leader="underscore" w:pos="7160"/>
        </w:tabs>
        <w:spacing w:after="0"/>
        <w:ind w:firstLine="709"/>
        <w:jc w:val="both"/>
        <w:rPr>
          <w:rStyle w:val="707"/>
          <w:sz w:val="28"/>
          <w:szCs w:val="28"/>
        </w:rPr>
      </w:pPr>
      <w:r>
        <w:rPr>
          <w:rStyle w:val="707"/>
          <w:sz w:val="28"/>
          <w:szCs w:val="28"/>
        </w:rPr>
        <w:t xml:space="preserve">2</w:t>
      </w:r>
      <w:r>
        <w:rPr>
          <w:rStyle w:val="707"/>
          <w:sz w:val="28"/>
          <w:szCs w:val="28"/>
        </w:rPr>
        <w:t xml:space="preserve">. </w:t>
      </w:r>
      <w:r>
        <w:rPr>
          <w:rStyle w:val="707"/>
          <w:sz w:val="28"/>
          <w:szCs w:val="28"/>
        </w:rPr>
        <w:t xml:space="preserve">Распространить действие указанного постановления на п</w:t>
      </w:r>
      <w:r>
        <w:rPr>
          <w:rStyle w:val="707"/>
          <w:sz w:val="28"/>
          <w:szCs w:val="28"/>
        </w:rPr>
        <w:t xml:space="preserve">равоотношения, возникшие с 01.01.2025</w:t>
      </w:r>
      <w:r>
        <w:rPr>
          <w:rStyle w:val="707"/>
          <w:sz w:val="28"/>
          <w:szCs w:val="28"/>
        </w:rPr>
        <w:t xml:space="preserve">.</w:t>
      </w:r>
      <w:r>
        <w:rPr>
          <w:rStyle w:val="707"/>
          <w:sz w:val="28"/>
          <w:szCs w:val="28"/>
        </w:rPr>
      </w:r>
    </w:p>
    <w:p>
      <w:pPr>
        <w:pBdr/>
        <w:shd w:val="clear" w:color="auto" w:fill="ffffff"/>
        <w:spacing w:after="0" w:before="4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hAnsi="Times New Roman" w:cs="Times New Roman"/>
          <w:sz w:val="28"/>
          <w:szCs w:val="28"/>
        </w:rPr>
        <w:t xml:space="preserve">Ерохину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В.Г. Бодунов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26.02.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формирования и распределения фонда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города Новоалтайска, </w:t>
      </w:r>
      <w:r>
        <w:rPr>
          <w:rFonts w:ascii="Times New Roman" w:hAnsi="Times New Roman" w:cs="Times New Roman"/>
          <w:sz w:val="28"/>
          <w:szCs w:val="28"/>
        </w:rPr>
        <w:t xml:space="preserve">реализующих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минимальных рекомендуемых окладов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работников, учебно-вспомогательного и обслуживающего персонала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3827"/>
        <w:gridCol w:w="3119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right="-8"/>
              <w:jc w:val="center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3"/>
              <w:pBdr/>
              <w:tabs>
                <w:tab w:val="center" w:leader="none" w:pos="1809"/>
              </w:tabs>
              <w:spacing/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tabs>
                <w:tab w:val="center" w:leader="none" w:pos="1809"/>
              </w:tabs>
              <w:spacing/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Наименование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минимальных рекомендуемых окладов,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656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656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656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культуре, Музыкальный руководитель, Старший методист,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ИЗО,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3"/>
              <w:pBdr/>
              <w:spacing/>
              <w:ind w:righ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воспитатель,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17699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8656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служащих первого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елопроизводитель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8656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ператор ИВТ,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54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складом,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8656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общеотраслевых должностей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Инженер-электрик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8656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общеотраслевых профессий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8656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restart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борщик служебных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одсобный рабочий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Кухонный 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ашинист по стирке белья,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2"/>
        </w:trPr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астелянша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абочий по комплексному обслуживанию и ремонту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омощник заведующего по организации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8656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restart"/>
            <w:textDirection w:val="lrTb"/>
            <w:noWrap w:val="false"/>
          </w:tcPr>
          <w:p>
            <w:pPr>
              <w:pStyle w:val="71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Инженер-электрик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ЭВМ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еф-повар (повар)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10" w:type="dxa"/>
            <w:vMerge w:val="restart"/>
            <w:textDirection w:val="lrTb"/>
            <w:noWrap w:val="false"/>
          </w:tcPr>
          <w:p>
            <w:pPr>
              <w:pStyle w:val="71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Слесарь-электрик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третий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71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1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first" r:id="rId9"/>
      <w:footerReference w:type="default" r:id="rId10"/>
      <w:footnotePr/>
      <w:endnotePr/>
      <w:type w:val="nextPage"/>
      <w:pgSz w:h="16838" w:orient="portrait" w:w="11906"/>
      <w:pgMar w:top="567" w:right="566" w:bottom="709" w:left="1701" w:header="340" w:footer="34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pBdr/>
      <w:spacing/>
      <w:ind/>
      <w:rPr/>
    </w:pPr>
    <w:r/>
    <w:r/>
  </w:p>
  <w:p>
    <w:pPr>
      <w:pStyle w:val="71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pBdr/>
      <w:spacing/>
      <w:ind/>
      <w:jc w:val="right"/>
      <w:rPr/>
    </w:pPr>
    <w:r/>
    <w:r/>
  </w:p>
  <w:p>
    <w:pPr>
      <w:pStyle w:val="71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8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8"/>
      </w:pPr>
      <w:rPr>
        <w:rFonts w:hint="default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695"/>
    <w:next w:val="69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5"/>
    <w:next w:val="69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8"/>
    <w:basedOn w:val="695"/>
    <w:next w:val="69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5"/>
    <w:next w:val="69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1"/>
    <w:link w:val="6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1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1"/>
    <w:link w:val="6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1"/>
    <w:link w:val="6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1"/>
    <w:link w:val="7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1"/>
    <w:link w:val="7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1"/>
    <w:link w:val="70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5"/>
    <w:next w:val="69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5"/>
    <w:next w:val="69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1"/>
    <w:link w:val="715"/>
    <w:uiPriority w:val="99"/>
    <w:pPr>
      <w:pBdr/>
      <w:spacing/>
      <w:ind/>
    </w:pPr>
  </w:style>
  <w:style w:type="character" w:styleId="178">
    <w:name w:val="Footer Char"/>
    <w:basedOn w:val="701"/>
    <w:link w:val="717"/>
    <w:uiPriority w:val="99"/>
    <w:pPr>
      <w:pBdr/>
      <w:spacing/>
      <w:ind/>
    </w:pPr>
  </w:style>
  <w:style w:type="paragraph" w:styleId="179">
    <w:name w:val="Caption"/>
    <w:basedOn w:val="695"/>
    <w:next w:val="6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5"/>
    <w:next w:val="695"/>
    <w:uiPriority w:val="99"/>
    <w:unhideWhenUsed/>
    <w:pPr>
      <w:pBdr/>
      <w:spacing w:after="0" w:afterAutospacing="0"/>
      <w:ind/>
    </w:pPr>
  </w:style>
  <w:style w:type="paragraph" w:styleId="695" w:default="1">
    <w:name w:val="Normal"/>
    <w:qFormat/>
    <w:pPr>
      <w:pBdr/>
      <w:spacing/>
      <w:ind/>
    </w:pPr>
  </w:style>
  <w:style w:type="paragraph" w:styleId="696">
    <w:name w:val="Heading 1"/>
    <w:basedOn w:val="695"/>
    <w:next w:val="695"/>
    <w:link w:val="704"/>
    <w:qFormat/>
    <w:pPr>
      <w:keepNext w:val="true"/>
      <w:pBdr/>
      <w:spacing w:after="0" w:line="240" w:lineRule="auto"/>
      <w:ind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697">
    <w:name w:val="Heading 2"/>
    <w:basedOn w:val="695"/>
    <w:next w:val="695"/>
    <w:link w:val="705"/>
    <w:qFormat/>
    <w:pPr>
      <w:keepNext w:val="true"/>
      <w:pBdr/>
      <w:spacing w:after="0" w:line="240" w:lineRule="auto"/>
      <w:ind w:firstLine="250" w:left="2160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98">
    <w:name w:val="Heading 3"/>
    <w:basedOn w:val="695"/>
    <w:next w:val="695"/>
    <w:link w:val="706"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699">
    <w:name w:val="Heading 4"/>
    <w:basedOn w:val="695"/>
    <w:next w:val="695"/>
    <w:link w:val="710"/>
    <w:uiPriority w:val="9"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00">
    <w:name w:val="Heading 7"/>
    <w:basedOn w:val="695"/>
    <w:next w:val="695"/>
    <w:link w:val="721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01" w:default="1">
    <w:name w:val="Default Paragraph Font"/>
    <w:uiPriority w:val="1"/>
    <w:semiHidden/>
    <w:unhideWhenUsed/>
    <w:pPr>
      <w:pBdr/>
      <w:spacing/>
      <w:ind/>
    </w:pPr>
  </w:style>
  <w:style w:type="table" w:styleId="7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3" w:default="1">
    <w:name w:val="No List"/>
    <w:uiPriority w:val="99"/>
    <w:semiHidden/>
    <w:unhideWhenUsed/>
    <w:pPr>
      <w:pBdr/>
      <w:spacing/>
      <w:ind/>
    </w:pPr>
  </w:style>
  <w:style w:type="character" w:styleId="704" w:customStyle="1">
    <w:name w:val="Заголовок 1 Знак"/>
    <w:basedOn w:val="701"/>
    <w:link w:val="696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character" w:styleId="705" w:customStyle="1">
    <w:name w:val="Заголовок 2 Знак"/>
    <w:basedOn w:val="701"/>
    <w:link w:val="697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706" w:customStyle="1">
    <w:name w:val="Заголовок 3 Знак"/>
    <w:basedOn w:val="701"/>
    <w:link w:val="698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707" w:customStyle="1">
    <w:name w:val="Font Style11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708">
    <w:name w:val="Subtitle"/>
    <w:basedOn w:val="695"/>
    <w:next w:val="695"/>
    <w:link w:val="709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09" w:customStyle="1">
    <w:name w:val="Подзаголовок Знак"/>
    <w:basedOn w:val="701"/>
    <w:link w:val="708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0" w:customStyle="1">
    <w:name w:val="Заголовок 4 Знак"/>
    <w:basedOn w:val="701"/>
    <w:link w:val="699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11">
    <w:name w:val="Title"/>
    <w:basedOn w:val="695"/>
    <w:next w:val="695"/>
    <w:link w:val="712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12" w:customStyle="1">
    <w:name w:val="Заголовок Знак"/>
    <w:basedOn w:val="701"/>
    <w:link w:val="711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13" w:customStyle="1">
    <w:name w:val="Нормальный (таблица)"/>
    <w:basedOn w:val="695"/>
    <w:next w:val="695"/>
    <w:uiPriority w:val="99"/>
    <w:pPr>
      <w:widowControl w:val="false"/>
      <w:pBdr/>
      <w:spacing w:after="0" w:line="240" w:lineRule="auto"/>
      <w:ind/>
      <w:jc w:val="both"/>
    </w:pPr>
    <w:rPr>
      <w:rFonts w:ascii="Arial" w:hAnsi="Arial" w:eastAsia="Times New Roman" w:cs="Arial"/>
      <w:sz w:val="24"/>
      <w:szCs w:val="24"/>
    </w:rPr>
  </w:style>
  <w:style w:type="paragraph" w:styleId="714" w:customStyle="1">
    <w:name w:val="Прижатый влево"/>
    <w:basedOn w:val="695"/>
    <w:next w:val="695"/>
    <w:uiPriority w:val="99"/>
    <w:pPr>
      <w:widowControl w:val="false"/>
      <w:pBdr/>
      <w:spacing w:after="0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715">
    <w:name w:val="Header"/>
    <w:basedOn w:val="695"/>
    <w:link w:val="716"/>
    <w:uiPriority w:val="99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16" w:customStyle="1">
    <w:name w:val="Верхний колонтитул Знак"/>
    <w:basedOn w:val="701"/>
    <w:link w:val="715"/>
    <w:uiPriority w:val="99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paragraph" w:styleId="717">
    <w:name w:val="Footer"/>
    <w:basedOn w:val="695"/>
    <w:link w:val="718"/>
    <w:uiPriority w:val="99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18" w:customStyle="1">
    <w:name w:val="Нижний колонтитул Знак"/>
    <w:basedOn w:val="701"/>
    <w:link w:val="717"/>
    <w:uiPriority w:val="99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table" w:styleId="719">
    <w:name w:val="Table Grid"/>
    <w:basedOn w:val="702"/>
    <w:uiPriority w:val="3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0">
    <w:name w:val="List Paragraph"/>
    <w:basedOn w:val="695"/>
    <w:uiPriority w:val="34"/>
    <w:qFormat/>
    <w:pPr>
      <w:widowControl w:val="false"/>
      <w:pBdr/>
      <w:spacing w:after="0" w:line="240" w:lineRule="auto"/>
      <w:ind w:firstLine="720" w:left="720"/>
      <w:contextualSpacing w:val="true"/>
      <w:jc w:val="both"/>
    </w:pPr>
    <w:rPr>
      <w:rFonts w:ascii="Arial" w:hAnsi="Arial" w:eastAsia="Times New Roman" w:cs="Arial"/>
      <w:sz w:val="24"/>
      <w:szCs w:val="24"/>
    </w:rPr>
  </w:style>
  <w:style w:type="character" w:styleId="721" w:customStyle="1">
    <w:name w:val="Заголовок 7 Знак"/>
    <w:basedOn w:val="701"/>
    <w:link w:val="700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722">
    <w:name w:val="Balloon Text"/>
    <w:basedOn w:val="695"/>
    <w:link w:val="723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23" w:customStyle="1">
    <w:name w:val="Текст выноски Знак"/>
    <w:basedOn w:val="701"/>
    <w:link w:val="722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F4AF-C6A2-4EEA-A5E7-F835C261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revision>9</cp:revision>
  <dcterms:created xsi:type="dcterms:W3CDTF">2024-09-23T05:17:00Z</dcterms:created>
  <dcterms:modified xsi:type="dcterms:W3CDTF">2025-02-26T03:56:32Z</dcterms:modified>
</cp:coreProperties>
</file>