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Bdr/>
        <w:spacing/>
        <w:ind/>
        <w:rPr/>
      </w:pPr>
      <w:r/>
      <w:r/>
    </w:p>
    <w:p>
      <w:pPr>
        <w:pStyle w:val="857"/>
        <w:pBdr/>
        <w:spacing/>
        <w:ind w:firstLine="0"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ГОРОДА  НОВОАЛТАЙСКА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56"/>
        <w:pBdr/>
        <w:spacing/>
        <w:ind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АЛТАЙСКОГО  КРАЯ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55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г. Новоалтайск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3103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5"/>
        <w:pBdr/>
        <w:spacing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5"/>
        <w:pBdr/>
        <w:tabs>
          <w:tab w:val="left" w:leader="none" w:pos="5040"/>
        </w:tabs>
        <w:spacing/>
        <w:ind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б</w:t>
      </w:r>
      <w:r>
        <w:rPr>
          <w:sz w:val="28"/>
        </w:rPr>
        <w:t xml:space="preserve">    </w:t>
      </w:r>
      <w:r>
        <w:rPr>
          <w:sz w:val="28"/>
        </w:rPr>
        <w:t xml:space="preserve"> утверждении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плана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мероприятий </w:t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spacing/>
        <w:ind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z w:val="28"/>
        </w:rPr>
        <w:t xml:space="preserve">  </w:t>
      </w:r>
      <w:r>
        <w:rPr>
          <w:sz w:val="28"/>
        </w:rPr>
        <w:t xml:space="preserve">на </w:t>
      </w:r>
      <w:r>
        <w:rPr>
          <w:sz w:val="28"/>
        </w:rPr>
        <w:t xml:space="preserve">  </w:t>
      </w:r>
      <w:r>
        <w:rPr>
          <w:sz w:val="28"/>
        </w:rPr>
        <w:t xml:space="preserve">территории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города</w:t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tabs>
          <w:tab w:val="left" w:leader="none" w:pos="5040"/>
        </w:tabs>
        <w:spacing/>
        <w:ind/>
        <w:rPr>
          <w:sz w:val="28"/>
        </w:rPr>
      </w:pPr>
      <w:r>
        <w:rPr>
          <w:sz w:val="28"/>
        </w:rPr>
        <w:t xml:space="preserve">Новоалтайска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омплексного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плана</w:t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spacing/>
        <w:ind/>
        <w:rPr>
          <w:sz w:val="28"/>
          <w:szCs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ротиводействия</w:t>
      </w:r>
      <w:r>
        <w:rPr>
          <w:sz w:val="28"/>
        </w:rPr>
        <w:t xml:space="preserve"> </w:t>
      </w:r>
      <w:r>
        <w:rPr>
          <w:sz w:val="28"/>
        </w:rPr>
        <w:t xml:space="preserve"> идеологии терроризма</w:t>
      </w:r>
      <w:r>
        <w:rPr>
          <w:sz w:val="28"/>
        </w:rPr>
        <w:t xml:space="preserve">  </w:t>
      </w:r>
      <w:r>
        <w:rPr>
          <w:sz w:val="28"/>
        </w:rPr>
        <w:t xml:space="preserve">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2024</w:t>
      </w:r>
      <w:r>
        <w:rPr>
          <w:sz w:val="28"/>
        </w:rPr>
        <w:t xml:space="preserve"> - 2028</w:t>
      </w:r>
      <w:r>
        <w:rPr>
          <w:sz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spacing/>
        <w:ind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В соответствии с Ф</w:t>
      </w:r>
      <w:r>
        <w:rPr>
          <w:sz w:val="28"/>
          <w:szCs w:val="28"/>
        </w:rPr>
        <w:t xml:space="preserve">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06.03.2006 № 35-ФЗ «О противодействи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терроризму»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Комплексным  планом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тиводействия идеологии терроризма</w:t>
      </w:r>
      <w:r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утверждённ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 Президентом Российской Федерации от 30.12.2023 № Пр-2610, Уставом городского округа города Новоалтайска Алтайского края,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tabs>
          <w:tab w:val="left" w:leader="none" w:pos="5040"/>
        </w:tabs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           1.</w:t>
      </w:r>
      <w:r>
        <w:rPr>
          <w:sz w:val="28"/>
        </w:rPr>
        <w:t xml:space="preserve">   Утвердить </w:t>
      </w:r>
      <w:r>
        <w:rPr>
          <w:sz w:val="28"/>
        </w:rPr>
        <w:t xml:space="preserve">план мероприятий  по реализации на территории  города Новоалтайска </w:t>
      </w:r>
      <w:r>
        <w:rPr>
          <w:sz w:val="28"/>
        </w:rPr>
        <w:t xml:space="preserve">Комплексного</w:t>
      </w:r>
      <w:r>
        <w:rPr>
          <w:sz w:val="28"/>
        </w:rPr>
        <w:t xml:space="preserve"> плана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противодействия идеологии террори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ма  на 2024</w:t>
      </w:r>
      <w:r>
        <w:rPr>
          <w:sz w:val="28"/>
          <w:szCs w:val="28"/>
        </w:rPr>
        <w:t xml:space="preserve">-2028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5"/>
        <w:pBdr/>
        <w:tabs>
          <w:tab w:val="left" w:leader="none" w:pos="5040"/>
        </w:tabs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2. Председателю комитета по образованию (Стась Ю.О.), председателю комитета по культуре (Лукьянченко</w:t>
      </w:r>
      <w:r>
        <w:rPr>
          <w:sz w:val="28"/>
          <w:szCs w:val="28"/>
          <w:highlight w:val="none"/>
        </w:rPr>
        <w:t xml:space="preserve"> В.А.), председателю комитета по физической культуре и спорту (Зубкову Н.Г.), заведующей отделом по делам молодежи (Колесниковой К.В.) разработать  планы мероприятий по противодействию идеологии терроризма на период 2024-2028 годы до 15 декабря 2024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5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  <w:t xml:space="preserve">           3.</w:t>
      </w:r>
      <w:r>
        <w:rPr>
          <w:sz w:val="28"/>
        </w:rPr>
        <w:t xml:space="preserve"> Опубликовать настоящее постановление в Вестнике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города Новоалтайска.</w:t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  <w:t xml:space="preserve">          4.</w:t>
      </w:r>
      <w:r>
        <w:rPr>
          <w:sz w:val="28"/>
        </w:rPr>
        <w:t xml:space="preserve">      Контроль за исполнением настоящего постановления </w:t>
      </w:r>
      <w:r>
        <w:rPr>
          <w:sz w:val="28"/>
        </w:rPr>
        <w:t xml:space="preserve">возложить на заместителя главы Администрации города  Н.Г. Ерохину.</w:t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spacing/>
        <w:ind/>
        <w:rPr>
          <w:sz w:val="28"/>
        </w:rPr>
      </w:pPr>
      <w:r>
        <w:rPr>
          <w:sz w:val="28"/>
        </w:rPr>
        <w:t xml:space="preserve">Глава  города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В.Г. Бодунов</w:t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 w:firstLine="0"/>
        <w:rPr>
          <w:sz w:val="26"/>
          <w:szCs w:val="26"/>
          <w:highlight w:val="none"/>
        </w:rPr>
        <w:sectPr>
          <w:footnotePr/>
          <w:endnotePr/>
          <w:type w:val="nextPage"/>
          <w:pgSz w:h="16838" w:orient="portrait" w:w="11906"/>
          <w:pgMar w:top="851" w:right="851" w:bottom="851" w:left="1701" w:header="709" w:footer="709" w:gutter="0"/>
          <w:cols w:num="1" w:sep="0" w:space="708" w:equalWidth="1"/>
        </w:sect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Прилож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10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  20.12.2024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3103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  по реализации   на территории города Новоалтайска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омплексного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противодействия идеологии террори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 в Российской Федерации на 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-2028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63"/>
        <w:tblW w:w="1502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710"/>
        <w:gridCol w:w="8107"/>
        <w:gridCol w:w="4536"/>
        <w:gridCol w:w="1670"/>
      </w:tblGrid>
      <w:tr>
        <w:trPr>
          <w:tblHeader/>
        </w:trPr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5023" w:type="dxa"/>
            <w:textDirection w:val="lrTb"/>
            <w:noWrap w:val="false"/>
          </w:tcPr>
          <w:p>
            <w:pPr>
              <w:pStyle w:val="829"/>
              <w:pBdr/>
              <w:tabs>
                <w:tab w:val="left" w:leader="none" w:pos="780"/>
              </w:tabs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1. Меры общей профилактики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формирования у  населения антитеррористического мировоззрения обеспечивать проведение мероприятий, посвященных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Дню солидарности в борьбе с терроризмом (3 сентября),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Дню защитника Отечества (23 февраля),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Дню Героев Отечества (9 декабря)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с освещением их в средствах массовой информации и информационно-телекоммуникационной сети «Интернет».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Организовывать привлечение 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формированиями, признанными террористическим организациями, и проведения акций «Парта героя».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общим вопросам Администрации города.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и молодежных движений (обществ, проектов).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При реализации образовательных программ проводить профилактические меропри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противодействия пропагандистскому воздействию на население, прежде всего молодежь новых субъектов Российской Федерации, обеспечить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изучение библ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устранения причин и условий, способствующих вовлечению населения в террористическую деятельность: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обеспечивать максима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4"/>
            <w:tcBorders/>
            <w:tcW w:w="15023" w:type="dxa"/>
            <w:textDirection w:val="lrTb"/>
            <w:noWrap w:val="false"/>
          </w:tcPr>
          <w:p>
            <w:pPr>
              <w:pBdr/>
              <w:spacing/>
              <w:ind w:left="63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</w:rPr>
              <w:t xml:space="preserve">2. Меры адресной профилактики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предупрежд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на базе образовательных организаций профессиональных образовательных организаций мероприятий по разъяснению традиционных росс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формирования антитеррори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духовно-нравственных ценностей.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формирования устойчивости к пропаганде терроризма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br/>
              <w:t xml:space="preserve">у членов семей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лиц, причастных к террористической деятельности (действующих, осужденных, нейтрализованных), в том числе детей,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возвращенных из Сирийской Арабской Республики и Республики Ирак, оказывать им социальную, психологическую и правовую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военно-патриотической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и иной социально полезной работе, способствующей привитию традиционных российских духо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за участие в их деятельности.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.;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задейств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и спортивными мероприятиями.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4"/>
            <w:tcBorders/>
            <w:tcW w:w="15023" w:type="dxa"/>
            <w:textDirection w:val="lrTb"/>
            <w:noWrap w:val="false"/>
          </w:tcPr>
          <w:p>
            <w:pPr>
              <w:pBdr/>
              <w:spacing/>
              <w:ind w:firstLine="33" w:left="633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  <w:t xml:space="preserve">3. Меры индивидуальной профилактики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недопущения повторного совершения преступлений террористической напр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ресоциализацию и реинтеграцию в общество на основе привлечения к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профессиональной, общественной, волонтерской и иной социально полезной деятельности.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color w:val="auto"/>
              </w:rPr>
              <w:t xml:space="preserve">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КГУ 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Центр занятости населения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ороду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Новоалтайск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и Первомайскому району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(по согласованию).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радикализации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и суицидальному поведению.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циальных сетях и мессенджерах.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Комиссия по делам несовершеннолетних и защите их прав.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МВД России по г. Новоалтайску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редставители религиозных организаций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(по согласованию).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5"/>
              </w:numPr>
              <w:pBdr/>
              <w:tabs>
                <w:tab w:val="left" w:leader="none" w:pos="780"/>
              </w:tabs>
              <w:spacing/>
              <w:ind w:left="176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МВД России по г. Новоалтайску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Представители религиозных организаций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(по согласованию).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4"/>
            <w:tcBorders/>
            <w:tcW w:w="15023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 w:left="63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</w:rPr>
              <w:t xml:space="preserve"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 14.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повышения эффективности информационно-пропагандистской деятельности в части привития населению стойкого неприятия идеологии терроризма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Организовывать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своевременное распространение востребованного у населения антитеррористического контента, нацеленного на формирован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При организации данной работы учитывать информационные потребности и умонастроения целевых групп, а также акту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 молодежи;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МВД России по г. Новоалтайску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(по согласованию);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Росгвардия (по согласования);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ФСИН России(по согласованию);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общим вопросам Администрации города.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Содействовать функционированию Единой системы противодействия распространению недостоверной информации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информационно-телекоммуникационной сети «Интернет»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, в рамках которой оперативно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реагировать на попытки психологического воздействия на население со стороны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Аппарат антитеррористической комиссии;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общим вопросам Администрации города.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Обеспечивать формирование и функционирование электронного каталога антитеррористических материалов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Аппарат антитеррористической комиссии;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 молодежи;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МВД России по г. Новоалтайску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Росгвардия (по согласованию); ФСИН России (по согласованию).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снижения рисков вовлечения молодежи в террористическую деятельность организовывать в профессиональных образовательных организациях с привлечением обучающихся создание и распространение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 молодежи;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целях задействования средств массовой информации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 реализации мероприятий по противодействию идеологии терроризма в рамках государственной (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грантовой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материалов, нацеленных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на формирование у населения антитеррористического мировоззрения.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 молодежи;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общим вопросам Администрации города.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экспозиций, посвященных землякам, которые проявили мужество и героизм 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целях привития населению новых субъектов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br/>
              <w:t xml:space="preserve">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 преступлении террористической направленности, организовать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распространение антитеррористических материалов (текстовых, графических, аудио и видео) через средства массовой информации, в том числе в формат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 социальной рекламы,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и популярные каналы в социальных се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тях и мессенджерах (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блогеров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общим вопросам Администрации города.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14.8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ормации, в том числе в информационно-телекоммуникационной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общим вопросам Администрации города.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475"/>
        </w:trPr>
        <w:tc>
          <w:tcPr>
            <w:gridSpan w:val="4"/>
            <w:tcBorders/>
            <w:tcW w:w="15023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 w:left="63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</w:rPr>
              <w:t xml:space="preserve">5. Меры кадрового и методического обеспечения профилактической работы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15.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я до обучающихся и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участие во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всероссийских и региональных обучающих мероприятий (конференции, форумы, семинары, «круглые столы»)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с последующим освещением их результатов на официальных сайтах, в социальных сетях и средствах массовой информации.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молодежи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общим вопросам Администрации города.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16.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В целях информационного и методического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сопровождения деятельности по устранению причин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радикализации обучающихся организовать работу по созданию и использованию в профилактике цифровых платф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17.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107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highlight w:val="none"/>
              </w:rPr>
              <w:t xml:space="preserve">Для обеспечения ежегодного планирования комплекса мероприятий по противодействию идеологии терроризма и своевременного внесения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highlight w:val="none"/>
              </w:rPr>
              <w:t xml:space="preserve">коррективов в профилактическую работу осуществлять анализ и оценку эффективности реализации общеп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highlight w:val="none"/>
              </w:rPr>
              <w:t xml:space="preserve">рофилактических,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 по образованию;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культуре;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Комитет по физической культуре и спорту;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Отдел Администрации города по делам  молодежи;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none"/>
              </w:rPr>
              <w:t xml:space="preserve">аппарат антитеррористической комиссии.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4"/>
            <w:tcBorders/>
            <w:tcW w:w="15023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 w:left="63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</w:rPr>
              <w:t xml:space="preserve">6. Организационные меры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18.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/>
            <w:tcW w:w="14313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Организация и координация деятельности органов местного самоуправления по исполнению настоящего Комплексного плана осуществляется в соответствии с порядком, одобренным Национальным антитеррористическим комитетом.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780"/>
              </w:tabs>
              <w:spacing/>
              <w:ind w:firstLine="0" w:lef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19.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/>
            <w:tcW w:w="14313" w:type="dxa"/>
            <w:textDirection w:val="lrTb"/>
            <w:noWrap w:val="false"/>
          </w:tcPr>
          <w:p>
            <w:pPr>
              <w:pBdr/>
              <w:tabs>
                <w:tab w:val="left" w:leader="none" w:pos="780"/>
              </w:tabs>
              <w:spacing/>
              <w:ind w:firstLine="33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органов местного самоуправления, а также за счет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  <w:highlight w:val="none"/>
              </w:rPr>
              <w:t xml:space="preserve">в из внебюджетных источников.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Примечание: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План подлежит корректировке и внесению дополнений.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sectPr>
      <w:footnotePr/>
      <w:endnotePr/>
      <w:type w:val="nextPage"/>
      <w:pgSz w:h="11906" w:orient="landscape" w:w="16838"/>
      <w:pgMar w:top="1701" w:right="851" w:bottom="851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90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900"/>
      </w:pPr>
      <w:rPr/>
      <w:start w:val="7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55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57">
    <w:name w:val="Заголовок 2"/>
    <w:basedOn w:val="855"/>
    <w:next w:val="855"/>
    <w:link w:val="855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58">
    <w:name w:val="Заголовок 3"/>
    <w:basedOn w:val="855"/>
    <w:next w:val="855"/>
    <w:link w:val="855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character" w:styleId="859">
    <w:name w:val="Основной шрифт абзаца"/>
    <w:next w:val="859"/>
    <w:link w:val="855"/>
    <w:semiHidden/>
    <w:pPr>
      <w:pBdr/>
      <w:spacing/>
      <w:ind/>
    </w:pPr>
  </w:style>
  <w:style w:type="table" w:styleId="860">
    <w:name w:val="Обычная таблица"/>
    <w:next w:val="860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1">
    <w:name w:val="Нет списка"/>
    <w:next w:val="861"/>
    <w:link w:val="855"/>
    <w:semiHidden/>
    <w:pPr>
      <w:pBdr/>
      <w:spacing/>
      <w:ind/>
    </w:pPr>
  </w:style>
  <w:style w:type="table" w:styleId="862">
    <w:name w:val="Сетка таблицы"/>
    <w:basedOn w:val="860"/>
    <w:next w:val="862"/>
    <w:link w:val="85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Сетка таблицы1"/>
    <w:basedOn w:val="751"/>
    <w:next w:val="762"/>
    <w:uiPriority w:val="5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АВТретьяков</dc:creator>
  <cp:revision>11</cp:revision>
  <dcterms:created xsi:type="dcterms:W3CDTF">2019-10-31T03:25:00Z</dcterms:created>
  <dcterms:modified xsi:type="dcterms:W3CDTF">2024-12-24T05:58:48Z</dcterms:modified>
  <cp:version>730895</cp:version>
</cp:coreProperties>
</file>