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lang w:eastAsia="ko-KR"/>
        </w:rPr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6305" cy="592931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6305" cy="592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87pt;height:46.6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43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38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4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637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22.11.2024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2853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Новоалтайск</w:t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624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24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24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30.06.2015</w:t>
        <w:br w:type="textWrapping" w:clear="all"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1349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consultantplus://offline/ref=80371DF1AB5C1375F49A823B0C83B6451B8BB0936C2D5D4F671D87545FF782DFI3z7I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Администрации Алтайского края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17 декабря 2013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653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регламента сопровождения инвестиционных проектов на территории Алтайского края по принципу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одного окна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а также в целях реализации плана мероприятий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улучшению инве</w:t>
      </w:r>
      <w:r>
        <w:rPr>
          <w:sz w:val="28"/>
          <w:szCs w:val="28"/>
        </w:rPr>
        <w:t xml:space="preserve">стиционного климата в городе Новоалтай</w:t>
      </w:r>
      <w:r>
        <w:rPr>
          <w:sz w:val="28"/>
          <w:szCs w:val="28"/>
        </w:rPr>
        <w:t xml:space="preserve">ске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сокращения сроков рассмотрения вопросов, возникающих в ходе реализации инвестиционных проектов, 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numPr>
          <w:ilvl w:val="0"/>
          <w:numId w:val="2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Новоалтайска </w:t>
      </w:r>
      <w:r>
        <w:rPr>
          <w:sz w:val="28"/>
          <w:szCs w:val="28"/>
        </w:rPr>
        <w:t xml:space="preserve">от 30.06.2015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1349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Регламента взаимодействия инвестиционного уполномоченного с инвесторами </w:t>
        <w:br w:type="textWrapping" w:clear="all"/>
        <w:t xml:space="preserve">и сопровождения инвестиционных проектов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в новой редакции согласно приложению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numPr>
          <w:ilvl w:val="0"/>
          <w:numId w:val="2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Вестнике муниципального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город Новоалтайск.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numPr>
          <w:ilvl w:val="0"/>
          <w:numId w:val="2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  <w:br w:type="textWrapping" w:clear="all"/>
        <w:t xml:space="preserve">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46"/>
        <w:gridCol w:w="459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46" w:type="dxa"/>
            <w:vAlign w:val="top"/>
            <w:textDirection w:val="lrTb"/>
            <w:noWrap w:val="false"/>
          </w:tcPr>
          <w:p>
            <w:pPr>
              <w:pStyle w:val="636"/>
              <w:ind w:hanging="10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3" w:type="dxa"/>
            <w:vAlign w:val="top"/>
            <w:textDirection w:val="lrTb"/>
            <w:noWrap w:val="false"/>
          </w:tcPr>
          <w:p>
            <w:pPr>
              <w:pStyle w:val="6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В.Г.Бодунов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4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4"/>
        <w:spacing w:line="233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left="5664"/>
      </w:pPr>
      <w:r>
        <w:rPr>
          <w:sz w:val="28"/>
        </w:rPr>
        <w:t xml:space="preserve">Приложение к постановлению Администрации города</w:t>
      </w:r>
      <w:r/>
    </w:p>
    <w:p>
      <w:pPr>
        <w:pStyle w:val="624"/>
        <w:ind w:left="5664"/>
      </w:pPr>
      <w:r>
        <w:rPr>
          <w:sz w:val="28"/>
        </w:rPr>
        <w:t xml:space="preserve">от </w:t>
      </w:r>
      <w:r>
        <w:rPr>
          <w:sz w:val="28"/>
        </w:rPr>
        <w:t xml:space="preserve">22.11.2024 </w:t>
      </w:r>
      <w:r>
        <w:rPr>
          <w:sz w:val="28"/>
        </w:rPr>
        <w:t xml:space="preserve"> № </w:t>
      </w:r>
      <w:r>
        <w:rPr>
          <w:sz w:val="28"/>
        </w:rPr>
        <w:t xml:space="preserve">2853</w:t>
      </w:r>
      <w:r/>
    </w:p>
    <w:p>
      <w:pPr>
        <w:pStyle w:val="624"/>
        <w:ind w:firstLine="4677"/>
      </w:pPr>
      <w:r/>
      <w:r/>
    </w:p>
    <w:p>
      <w:pPr>
        <w:pStyle w:val="624"/>
        <w:ind w:firstLine="4677"/>
      </w:pPr>
      <w:r/>
      <w:r/>
    </w:p>
    <w:p>
      <w:pPr>
        <w:pStyle w:val="624"/>
        <w:jc w:val="right"/>
      </w:pPr>
      <w:r>
        <w:rPr>
          <w:sz w:val="28"/>
        </w:rPr>
        <w:t xml:space="preserve">«</w:t>
      </w:r>
      <w:r>
        <w:rPr>
          <w:sz w:val="28"/>
          <w:szCs w:val="28"/>
        </w:rPr>
        <w:t xml:space="preserve">Приложение </w:t>
      </w:r>
      <w:r/>
    </w:p>
    <w:p>
      <w:pPr>
        <w:pStyle w:val="6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pStyle w:val="6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</w:p>
    <w:p>
      <w:pPr>
        <w:pStyle w:val="6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</w:r>
    </w:p>
    <w:p>
      <w:pPr>
        <w:pStyle w:val="6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14.07.2015 № 1423</w:t>
      </w:r>
      <w:r>
        <w:rPr>
          <w:sz w:val="28"/>
          <w:szCs w:val="28"/>
        </w:rPr>
      </w:r>
    </w:p>
    <w:p>
      <w:pPr>
        <w:pStyle w:val="624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24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</w:t>
      </w:r>
      <w:r>
        <w:rPr>
          <w:b/>
          <w:bCs/>
          <w:sz w:val="28"/>
          <w:szCs w:val="28"/>
        </w:rPr>
      </w:r>
    </w:p>
    <w:p>
      <w:pPr>
        <w:pStyle w:val="624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ВЗАИМОДЕЙСТВИЯ ИНВЕСТИЦИОННОГО УПОЛНОМОЧЕННОГО </w:t>
        <w:br w:type="textWrapping" w:clear="all"/>
        <w:t xml:space="preserve">С ИНВЕСТОРАМИ И СОПРОВОЖДЕНИЯ ИНВЕСТИЦИОННЫХ ПРОЕКТОВ НА ТЕРРИТОРИИ ГОРОДА НОВОАЛТАЙСКА</w:t>
      </w:r>
      <w:r>
        <w:rPr>
          <w:b/>
          <w:bCs/>
          <w:sz w:val="28"/>
          <w:szCs w:val="28"/>
        </w:rPr>
      </w:r>
    </w:p>
    <w:p>
      <w:pPr>
        <w:pStyle w:val="624"/>
        <w:jc w:val="both"/>
        <w:widowControl w:val="off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24"/>
        <w:jc w:val="center"/>
        <w:widowControl w:val="off"/>
        <w:rPr>
          <w:sz w:val="28"/>
          <w:szCs w:val="28"/>
        </w:rPr>
        <w:outlineLvl w:val="1"/>
      </w:pPr>
      <w:r/>
      <w:bookmarkStart w:id="0" w:name="Par33"/>
      <w:r/>
      <w:bookmarkEnd w:id="0"/>
      <w:r>
        <w:rPr>
          <w:sz w:val="28"/>
          <w:szCs w:val="28"/>
        </w:rPr>
        <w:t xml:space="preserve">1. Общие положения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Регламент взаимодействия инвестиционного уполномоченного </w:t>
        <w:br w:type="textWrapping" w:clear="all"/>
        <w:t xml:space="preserve">с инвесторами и сопровождения инвестиционных п</w:t>
      </w:r>
      <w:r>
        <w:rPr>
          <w:sz w:val="28"/>
          <w:szCs w:val="28"/>
        </w:rPr>
        <w:t xml:space="preserve">роектов на территории города Новоалтайска</w:t>
      </w:r>
      <w:r>
        <w:rPr>
          <w:sz w:val="28"/>
          <w:szCs w:val="28"/>
        </w:rPr>
        <w:t xml:space="preserve"> (далее - Регламент) устанавливает сроки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последовательность действий инвестиционного уполномоченного,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Администрации города по сопровождению инвестиционных проектов при содействии в реализации инвестиционных проектов на территории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 xml:space="preserve">1.2. </w:t>
      </w:r>
      <w:r>
        <w:rPr>
          <w:rFonts w:eastAsia="Batang"/>
          <w:sz w:val="28"/>
          <w:szCs w:val="28"/>
          <w:lang w:eastAsia="ko-KR"/>
        </w:rPr>
        <w:t xml:space="preserve">В Регламенте применяются понятия, используемые в </w:t>
      </w:r>
      <w:r>
        <w:rPr>
          <w:rFonts w:eastAsia="Batang"/>
          <w:sz w:val="28"/>
          <w:szCs w:val="28"/>
          <w:lang w:eastAsia="ko-KR"/>
        </w:rPr>
        <w:t xml:space="preserve">законе </w:t>
      </w:r>
      <w:r>
        <w:rPr>
          <w:rFonts w:eastAsia="Batang"/>
          <w:sz w:val="28"/>
          <w:szCs w:val="28"/>
          <w:lang w:eastAsia="ko-KR"/>
        </w:rPr>
        <w:t xml:space="preserve">Алтайского края от 03.04.2014 № 21-ЗС </w:t>
      </w:r>
      <w:r>
        <w:rPr>
          <w:rFonts w:eastAsia="Batang"/>
          <w:sz w:val="28"/>
          <w:szCs w:val="28"/>
          <w:lang w:eastAsia="ko-KR"/>
        </w:rPr>
        <w:t xml:space="preserve">«</w:t>
      </w:r>
      <w:r>
        <w:rPr>
          <w:rFonts w:eastAsia="Batang"/>
          <w:sz w:val="28"/>
          <w:szCs w:val="28"/>
          <w:lang w:eastAsia="ko-KR"/>
        </w:rPr>
        <w:t xml:space="preserve">Об инвестиционной деятельности в Алтайском крае</w:t>
      </w:r>
      <w:r>
        <w:rPr>
          <w:rFonts w:eastAsia="Batang"/>
          <w:sz w:val="28"/>
          <w:szCs w:val="28"/>
          <w:lang w:eastAsia="ko-KR"/>
        </w:rPr>
        <w:t xml:space="preserve">»</w:t>
      </w:r>
      <w:r>
        <w:rPr>
          <w:rFonts w:eastAsia="Batang"/>
          <w:sz w:val="28"/>
          <w:szCs w:val="28"/>
          <w:lang w:eastAsia="ko-KR"/>
        </w:rPr>
        <w:t xml:space="preserve">, а также следующие понятия: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1) инициатор инвестиционного проекта - физическое или юридическое лицо, предлагающее к реализации инвестиционный проект на территории Алтайского края;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2) инвестиционная площадка - часть территории в виде земельного участка, обеспеченная полным или частичным объемом необходимой инфраструктуры (газ, водоснабжение, электроэнергия, очистные сооружения и т.п.) для реализации инвестиционных проектов.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1.3. В целях реализации инвестиционных проектов на территории города Новоалтайска инвестиционный уполномоченный: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рассматривает обращения субъектов инвестиционной деятельности </w:t>
        <w:br w:type="textWrapping" w:clear="all"/>
        <w:t xml:space="preserve">по вопросам реализации инвестиционных проектов на территории города, </w:t>
        <w:br w:type="textWrapping" w:clear="all"/>
        <w:t xml:space="preserve">в том числе на принципах государственно-частного партнерства;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представляет по запросу инвесторов, заинтересованных в реализации инвестиционных проектов на территории муни</w:t>
      </w:r>
      <w:r>
        <w:rPr>
          <w:sz w:val="28"/>
          <w:szCs w:val="28"/>
        </w:rPr>
        <w:t xml:space="preserve">ципального образования город Новоалтайск, информацию, связанную с осуществлением инвестиционной деятельности на территории муниципального образования город Новоалтайск (за исключением сведений, составляющих государственную и иную охраняемую законом тайну);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осуществляет поиск инвесторов для реализации инвестиционных проектов, поступивших от инициаторов инвестиционных проектов;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 xml:space="preserve">4) </w:t>
      </w:r>
      <w:r>
        <w:rPr>
          <w:rFonts w:eastAsia="Batang"/>
          <w:sz w:val="28"/>
          <w:szCs w:val="28"/>
          <w:lang w:eastAsia="ko-KR"/>
        </w:rPr>
        <w:t xml:space="preserve">осуществляет комплекс мер, направленных на подбор для субъекта инвестиционной деятельности инвестиционной площадки;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5) осуществляет мониторинг реализации в городе Новоалтайске инвестиционных проектов, подготовку информационных материалов по данным мониторинга для органов исполнительной власти;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6) взаимодействует с исполнительными органами государственной власти Алтайского края, с КАУ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Алтайский центр инвестиций и развития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иными субъектами инвестиционной деятельности по вопросам сопровождения инвестиционных проектов;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 xml:space="preserve">7) </w:t>
      </w:r>
      <w:r>
        <w:rPr>
          <w:rFonts w:eastAsia="Batang"/>
          <w:sz w:val="28"/>
          <w:szCs w:val="28"/>
          <w:lang w:eastAsia="ko-KR"/>
        </w:rPr>
        <w:t xml:space="preserve">оказывает консультации по вопросам использования инициатором инвестиционного проекта действующих мер государственной поддержки инвестиционной деятельности в Алтайском крае;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8) рассматривает обращения инициаторов инвестиционных проектов и назначает ответственного исполнителя по сопровождению данного инвестиционного проекта;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9) по запросу инициатора организует презентацию инвестиционного проекта на заседании инвестиционного совета при Главе города;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widowControl w:val="off"/>
      </w:pPr>
      <w:r>
        <w:rPr>
          <w:sz w:val="28"/>
          <w:szCs w:val="28"/>
        </w:rPr>
        <w:t xml:space="preserve">10) осуществляет иные формы содействия, способствующие реализации инвестиционных проектов, не противоречащие федеральному законодательству и законодательству Алтайского края.</w:t>
      </w:r>
      <w:r/>
    </w:p>
    <w:p>
      <w:pPr>
        <w:pStyle w:val="624"/>
        <w:ind w:firstLine="5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1.4. Инвестиционный уполномоченный по согласованию с инициатором инвестиционного проекта осуществляет презентацию инвестиционных проектов, рассмотренных в соответствии с </w:t>
      </w:r>
      <w:r>
        <w:rPr>
          <w:rFonts w:eastAsia="Batang"/>
          <w:sz w:val="28"/>
          <w:szCs w:val="28"/>
          <w:lang w:eastAsia="ko-KR"/>
        </w:rPr>
        <w:t xml:space="preserve">пунктом 2.6</w:t>
      </w:r>
      <w:r>
        <w:rPr>
          <w:rFonts w:eastAsia="Batang"/>
          <w:sz w:val="28"/>
          <w:szCs w:val="28"/>
          <w:lang w:eastAsia="ko-KR"/>
        </w:rPr>
        <w:t xml:space="preserve"> настоящего Регламента, и предоставляет необходимую информацию потенциальным инвесторам.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widowControl w:val="off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24"/>
        <w:ind w:firstLine="709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2. Сопровождение инвестиционного проекта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Основанием для рассмотрения инвестиционного проекта является представление инициатором в адрес инвестиционного уполномоченного,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том числе посредством сети Интернет, резюме инвестиционного проекта (далее - резюме) в установленной форме.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2.2. Инвестиционный уполномоченный рассматривает поступившее резюме и определяет куратора и (или) ответственного исполнителя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каждому инвестиционному проекту.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Куратор (ответственный исполнитель) в течение двух рабочих дней с момента получения резюме осуществляет следующие действия: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уведомляет инициатора инвестиционного проекта о получении его резюме; сообщает свои контактные данные, запрашивает информацию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контактном лице со стороны инициатора проекта;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осуществляет предварительный анализ резюме.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направляет копию Резюме в КАУ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Алтайский центр инвестиций и развития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По результатам рассмотрения резюме в течение десяти рабочих дней организуется рабочая встреча инвестиционного уполномоченного, специалистов Администрации города (курирующих данное направление) и инициатора инвестиционного проекта</w:t>
      </w:r>
      <w:r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  <w:lang w:eastAsia="ko-KR"/>
        </w:rPr>
        <w:t xml:space="preserve">(рабочая встреча, телефонные переговоры)</w:t>
      </w:r>
      <w:r>
        <w:rPr>
          <w:sz w:val="28"/>
          <w:szCs w:val="28"/>
        </w:rPr>
        <w:t xml:space="preserve"> с целью определения степени проработанности проекта, необходимости привлечения финансовых ресурсов, возможных форм государственной поддержки, проблем при реализации инвестиционного проекта.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 xml:space="preserve">2.5. По результатам </w:t>
      </w:r>
      <w:r>
        <w:rPr>
          <w:rFonts w:eastAsia="Batang"/>
          <w:sz w:val="28"/>
          <w:szCs w:val="28"/>
          <w:lang w:eastAsia="ko-KR"/>
        </w:rPr>
        <w:t xml:space="preserve">взаимодействия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определяются направления взаимодействия </w:t>
      </w:r>
      <w:r>
        <w:rPr>
          <w:rFonts w:eastAsia="Batang"/>
          <w:sz w:val="28"/>
          <w:szCs w:val="28"/>
          <w:lang w:eastAsia="ko-KR"/>
        </w:rPr>
        <w:t xml:space="preserve">формы содействия инициатору инвестиционного проекта, способствующие реализации инвестиционного проекта.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 xml:space="preserve">В случае отсутствия у инициатора земельного участка (помещения) для реализации проекта инвестиционный уполномоченный осуществляет содействие в подборе земельного участка (помещения), отвечающего требованиям инвестора</w:t>
      </w:r>
      <w:r>
        <w:rPr>
          <w:rFonts w:eastAsia="Batang"/>
          <w:sz w:val="28"/>
          <w:szCs w:val="28"/>
          <w:lang w:eastAsia="ko-KR"/>
        </w:rPr>
        <w:t xml:space="preserve"> и направляют предложения инициатору для согласования.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 xml:space="preserve">2.6. </w:t>
      </w:r>
      <w:r>
        <w:rPr>
          <w:rFonts w:eastAsia="Batang"/>
          <w:sz w:val="28"/>
          <w:szCs w:val="28"/>
          <w:lang w:eastAsia="ko-KR"/>
        </w:rPr>
        <w:t xml:space="preserve">В случае потребности в источниках финансирования для реализации инвестиционного проекта инвестиционным уполномоченным по согласованию с инициатором инвестиционного проекта проводится оценка привлекательности проекта для вложения инвестиций (далее – </w:t>
      </w:r>
      <w:r>
        <w:rPr>
          <w:rFonts w:eastAsia="Batang"/>
          <w:sz w:val="28"/>
          <w:szCs w:val="28"/>
          <w:lang w:eastAsia="ko-KR"/>
        </w:rPr>
        <w:t xml:space="preserve">«</w:t>
      </w:r>
      <w:r>
        <w:rPr>
          <w:rFonts w:eastAsia="Batang"/>
          <w:sz w:val="28"/>
          <w:szCs w:val="28"/>
          <w:lang w:eastAsia="ko-KR"/>
        </w:rPr>
        <w:t xml:space="preserve">оценка инвестиционного проекта</w:t>
      </w:r>
      <w:r>
        <w:rPr>
          <w:rFonts w:eastAsia="Batang"/>
          <w:sz w:val="28"/>
          <w:szCs w:val="28"/>
          <w:lang w:eastAsia="ko-KR"/>
        </w:rPr>
        <w:t xml:space="preserve">»</w:t>
      </w:r>
      <w:r>
        <w:rPr>
          <w:rFonts w:eastAsia="Batang"/>
          <w:sz w:val="28"/>
          <w:szCs w:val="28"/>
          <w:lang w:eastAsia="ko-KR"/>
        </w:rPr>
        <w:t xml:space="preserve">).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В рамках оценки инвестиционного проекта инвестиционный уполномоченный осуществляет рассмотрение бизнес-плана инвестиционного проекта, включающего финансовую модель.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В течение пятнадцат</w:t>
      </w:r>
      <w:r>
        <w:rPr>
          <w:rFonts w:eastAsia="Batang"/>
          <w:sz w:val="28"/>
          <w:szCs w:val="28"/>
          <w:lang w:eastAsia="ko-KR"/>
        </w:rPr>
        <w:t xml:space="preserve">и рабочих дней с даты получения от инициатора инвестиционного проекта запроса на проведение оценки инвестиционного проекта инвестиционный уполномоченный направляет в адрес инициатора инвестиционного проекта заключение, содержащее один из следующих выводов: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8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об экономической обоснованности инвестиционного проекта и целесообразности вложения инвестиций;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8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о нецелесообразности вложения инвестиций;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8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о необходимости корректировки бизнес-плана инвестиционного проекта.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Инициатор инвестиционного проекта в течение тридцати дней со дня получения заключения о необходимости корректировки бизнес-плана инвестиционного проекта дорабатывает его и направляет инвестиционному уполномоченному на повторное рассмотрение.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Повторное рассмотрение </w:t>
      </w:r>
      <w:r>
        <w:rPr>
          <w:rFonts w:eastAsia="Batang"/>
          <w:sz w:val="28"/>
          <w:szCs w:val="28"/>
          <w:lang w:eastAsia="ko-KR"/>
        </w:rPr>
        <w:t xml:space="preserve">инвестиционным уполномоченным </w:t>
      </w:r>
      <w:r>
        <w:rPr>
          <w:rFonts w:eastAsia="Batang"/>
          <w:sz w:val="28"/>
          <w:szCs w:val="28"/>
          <w:lang w:eastAsia="ko-KR"/>
        </w:rPr>
        <w:t xml:space="preserve">бизнес-плана инвестиционного проекта проводится в соответствии с требованиями настоящего пункта.</w:t>
      </w:r>
      <w:r>
        <w:rPr>
          <w:rFonts w:eastAsia="Batang"/>
          <w:sz w:val="28"/>
          <w:szCs w:val="28"/>
          <w:lang w:eastAsia="ko-KR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</w:t>
      </w:r>
      <w:r>
        <w:rPr>
          <w:sz w:val="28"/>
          <w:szCs w:val="28"/>
        </w:rPr>
        <w:t xml:space="preserve">. Контроль реализации инвестиционных проектов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инвестиционным </w:t>
      </w:r>
      <w:r>
        <w:rPr>
          <w:rFonts w:eastAsia="Batang"/>
          <w:sz w:val="28"/>
          <w:szCs w:val="28"/>
          <w:lang w:eastAsia="ko-KR"/>
        </w:rPr>
        <w:t xml:space="preserve">уполномоченным при наличии заключенного между инвестиционным уполномоченным и инициатором инвестиционного проекта соглашения об информационном взаимодействии </w:t>
      </w:r>
      <w:r>
        <w:rPr>
          <w:sz w:val="28"/>
          <w:szCs w:val="28"/>
        </w:rPr>
        <w:t xml:space="preserve">на основании ежеквартальной отчетности, представляемой инициатором инвестиционного проекта инвестиционному уполномоченному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установленной форме и определенные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</w:t>
      </w:r>
      <w:r>
        <w:rPr>
          <w:sz w:val="28"/>
          <w:szCs w:val="28"/>
        </w:rPr>
        <w:t xml:space="preserve">. Проведение подготовительных, согласительных и разрешительных процедур в органах ме</w:t>
      </w:r>
      <w:r>
        <w:rPr>
          <w:sz w:val="28"/>
          <w:szCs w:val="28"/>
        </w:rPr>
        <w:t xml:space="preserve">стного самоуправления, органах исполнительной власти Алтайского края, при реализации инвестиционных проектов осуществляется в соответствии с утвержденными административными регламентами, действующим законодательством Российской Федерации и Алтайского края.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539" w:right="851" w:bottom="89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603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rPr>
      <w:sz w:val="24"/>
      <w:szCs w:val="24"/>
      <w:lang w:val="ru-RU" w:eastAsia="ru-RU" w:bidi="ar-SA"/>
    </w:rPr>
  </w:style>
  <w:style w:type="paragraph" w:styleId="625">
    <w:name w:val="Заголовок 1"/>
    <w:basedOn w:val="624"/>
    <w:next w:val="624"/>
    <w:link w:val="624"/>
    <w:qFormat/>
    <w:pPr>
      <w:keepNext/>
      <w:outlineLvl w:val="0"/>
    </w:pPr>
    <w:rPr>
      <w:sz w:val="28"/>
      <w:szCs w:val="20"/>
    </w:rPr>
  </w:style>
  <w:style w:type="paragraph" w:styleId="626">
    <w:name w:val="Заголовок 2"/>
    <w:basedOn w:val="624"/>
    <w:next w:val="624"/>
    <w:link w:val="624"/>
    <w:qFormat/>
    <w:pPr>
      <w:ind w:left="2160" w:firstLine="250"/>
      <w:keepNext/>
      <w:outlineLvl w:val="1"/>
    </w:pPr>
    <w:rPr>
      <w:b/>
      <w:sz w:val="28"/>
      <w:szCs w:val="20"/>
    </w:rPr>
  </w:style>
  <w:style w:type="paragraph" w:styleId="627">
    <w:name w:val="Заголовок 3"/>
    <w:basedOn w:val="624"/>
    <w:next w:val="624"/>
    <w:link w:val="624"/>
    <w:qFormat/>
    <w:pPr>
      <w:jc w:val="center"/>
      <w:keepNext/>
      <w:outlineLvl w:val="2"/>
    </w:pPr>
    <w:rPr>
      <w:b/>
      <w:sz w:val="32"/>
      <w:szCs w:val="20"/>
    </w:rPr>
  </w:style>
  <w:style w:type="character" w:styleId="628">
    <w:name w:val="Основной шрифт абзаца"/>
    <w:next w:val="628"/>
    <w:link w:val="624"/>
    <w:semiHidden/>
  </w:style>
  <w:style w:type="table" w:styleId="629">
    <w:name w:val="Обычная таблица"/>
    <w:next w:val="629"/>
    <w:link w:val="624"/>
    <w:semiHidden/>
    <w:tblPr/>
  </w:style>
  <w:style w:type="numbering" w:styleId="630">
    <w:name w:val="Нет списка"/>
    <w:next w:val="630"/>
    <w:link w:val="624"/>
    <w:semiHidden/>
  </w:style>
  <w:style w:type="paragraph" w:styleId="631">
    <w:name w:val="Основной текст с отступом 2"/>
    <w:basedOn w:val="624"/>
    <w:next w:val="631"/>
    <w:link w:val="632"/>
    <w:pPr>
      <w:ind w:left="283"/>
      <w:spacing w:after="120" w:line="480" w:lineRule="auto"/>
    </w:pPr>
    <w:rPr>
      <w:sz w:val="20"/>
      <w:szCs w:val="20"/>
    </w:rPr>
  </w:style>
  <w:style w:type="character" w:styleId="632">
    <w:name w:val="Основной текст с отступом 2 Знак"/>
    <w:next w:val="632"/>
    <w:link w:val="631"/>
    <w:rPr>
      <w:lang w:val="ru-RU" w:eastAsia="ru-RU" w:bidi="ar-SA"/>
    </w:rPr>
  </w:style>
  <w:style w:type="paragraph" w:styleId="633">
    <w:name w:val="ConsPlusTitle"/>
    <w:next w:val="633"/>
    <w:link w:val="624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34">
    <w:name w:val="Font Style14"/>
    <w:next w:val="634"/>
    <w:link w:val="624"/>
    <w:rPr>
      <w:rFonts w:ascii="Times New Roman" w:hAnsi="Times New Roman" w:cs="Times New Roman"/>
      <w:sz w:val="26"/>
      <w:szCs w:val="26"/>
    </w:rPr>
  </w:style>
  <w:style w:type="paragraph" w:styleId="635">
    <w:name w:val="ConsPlusNonformat"/>
    <w:next w:val="635"/>
    <w:link w:val="62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36">
    <w:name w:val="Основной текст"/>
    <w:basedOn w:val="624"/>
    <w:next w:val="636"/>
    <w:link w:val="624"/>
    <w:pPr>
      <w:spacing w:after="120"/>
    </w:pPr>
  </w:style>
  <w:style w:type="paragraph" w:styleId="637">
    <w:name w:val="Heading 21"/>
    <w:basedOn w:val="624"/>
    <w:next w:val="624"/>
    <w:link w:val="624"/>
    <w:pPr>
      <w:jc w:val="center"/>
      <w:keepNext/>
      <w:outlineLvl w:val="1"/>
    </w:pPr>
    <w:rPr>
      <w:sz w:val="28"/>
      <w:szCs w:val="20"/>
      <w:lang w:eastAsia="zh-CN"/>
    </w:rPr>
  </w:style>
  <w:style w:type="paragraph" w:styleId="638">
    <w:name w:val="Heading 71"/>
    <w:basedOn w:val="624"/>
    <w:next w:val="624"/>
    <w:link w:val="624"/>
    <w:pPr>
      <w:jc w:val="center"/>
      <w:keepNext/>
      <w:spacing w:after="120"/>
      <w:outlineLvl w:val="6"/>
    </w:pPr>
    <w:rPr>
      <w:rFonts w:ascii="Arial" w:hAnsi="Arial"/>
      <w:b/>
      <w:szCs w:val="20"/>
      <w:lang w:eastAsia="zh-CN"/>
    </w:rPr>
  </w:style>
  <w:style w:type="character" w:styleId="639">
    <w:name w:val="Заголовок 2 Знак"/>
    <w:next w:val="639"/>
    <w:link w:val="641"/>
    <w:rPr>
      <w:rFonts w:ascii="Arial" w:hAnsi="Arial"/>
      <w:sz w:val="34"/>
      <w:lang w:val="ru-RU" w:eastAsia="ru-RU" w:bidi="ar-SA"/>
    </w:rPr>
  </w:style>
  <w:style w:type="character" w:styleId="640">
    <w:name w:val="Заголовок 7 Знак"/>
    <w:next w:val="640"/>
    <w:link w:val="642"/>
    <w:rPr>
      <w:rFonts w:ascii="Arial" w:hAnsi="Arial"/>
      <w:b/>
      <w:bCs/>
      <w:i/>
      <w:iCs/>
      <w:sz w:val="22"/>
      <w:szCs w:val="22"/>
      <w:lang w:val="ru-RU" w:eastAsia="ru-RU" w:bidi="ar-SA"/>
    </w:rPr>
  </w:style>
  <w:style w:type="paragraph" w:styleId="641">
    <w:name w:val="Heading 211"/>
    <w:next w:val="641"/>
    <w:link w:val="639"/>
    <w:pPr>
      <w:keepLines/>
      <w:keepNext/>
      <w:spacing w:before="360" w:after="200"/>
      <w:outlineLvl w:val="1"/>
    </w:pPr>
    <w:rPr>
      <w:rFonts w:ascii="Arial" w:hAnsi="Arial"/>
      <w:sz w:val="34"/>
      <w:lang w:val="ru-RU" w:eastAsia="ru-RU" w:bidi="ar-SA"/>
    </w:rPr>
  </w:style>
  <w:style w:type="paragraph" w:styleId="642">
    <w:name w:val="Heading 711"/>
    <w:next w:val="642"/>
    <w:link w:val="640"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val="ru-RU" w:eastAsia="ru-RU" w:bidi="ar-SA"/>
    </w:rPr>
  </w:style>
  <w:style w:type="paragraph" w:styleId="643">
    <w:name w:val="Header2"/>
    <w:basedOn w:val="624"/>
    <w:next w:val="643"/>
    <w:link w:val="644"/>
    <w:pPr>
      <w:tabs>
        <w:tab w:val="center" w:pos="4153" w:leader="none"/>
        <w:tab w:val="right" w:pos="8306" w:leader="none"/>
      </w:tabs>
    </w:pPr>
    <w:rPr>
      <w:sz w:val="20"/>
      <w:szCs w:val="20"/>
      <w:lang w:eastAsia="zh-CN"/>
    </w:rPr>
  </w:style>
  <w:style w:type="character" w:styleId="644">
    <w:name w:val="Верхний колонтитул Знак"/>
    <w:next w:val="644"/>
    <w:link w:val="643"/>
    <w:rPr>
      <w:lang w:val="ru-RU" w:eastAsia="zh-CN" w:bidi="ar-SA"/>
    </w:rPr>
  </w:style>
  <w:style w:type="character" w:styleId="1161" w:default="1">
    <w:name w:val="Default Paragraph Font"/>
    <w:uiPriority w:val="1"/>
    <w:semiHidden/>
    <w:unhideWhenUsed/>
  </w:style>
  <w:style w:type="numbering" w:styleId="1162" w:default="1">
    <w:name w:val="No List"/>
    <w:uiPriority w:val="99"/>
    <w:semiHidden/>
    <w:unhideWhenUsed/>
  </w:style>
  <w:style w:type="table" w:styleId="11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ВНЧернова</dc:creator>
  <cp:revision>3</cp:revision>
  <dcterms:created xsi:type="dcterms:W3CDTF">2024-11-25T02:36:00Z</dcterms:created>
  <dcterms:modified xsi:type="dcterms:W3CDTF">2024-11-28T04:36:23Z</dcterms:modified>
  <cp:version>917504</cp:version>
</cp:coreProperties>
</file>