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80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0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12.02.2025                                                                                                         № 271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7"/>
        </w:rPr>
      </w:pPr>
      <w:r>
        <w:rPr>
          <w:sz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-136185</wp:posOffset>
                </wp:positionH>
                <wp:positionV relativeFrom="paragraph">
                  <wp:posOffset>150495</wp:posOffset>
                </wp:positionV>
                <wp:extent cx="3448050" cy="729877"/>
                <wp:effectExtent l="6350" t="187325" r="6350" b="18732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448049" cy="729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б отмене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остановления Администрации города Новоалтайска 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Алтайского края от 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26.04.2012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 № 854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10.72pt;mso-position-horizontal:absolute;mso-position-vertical-relative:text;margin-top:11.85pt;mso-position-vertical:absolute;width:271.50pt;height:57.4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  <w:szCs w:val="28"/>
                        </w:rPr>
                      </w:r>
                      <w:r>
                        <w:rPr>
                          <w:sz w:val="27"/>
                          <w:szCs w:val="28"/>
                        </w:rPr>
                        <w:t xml:space="preserve">О</w:t>
                      </w:r>
                      <w:r>
                        <w:rPr>
                          <w:sz w:val="27"/>
                          <w:szCs w:val="28"/>
                        </w:rPr>
                        <w:t xml:space="preserve">б отмене</w:t>
                      </w:r>
                      <w:r>
                        <w:rPr>
                          <w:sz w:val="27"/>
                          <w:szCs w:val="28"/>
                        </w:rPr>
                        <w:t xml:space="preserve"> </w:t>
                      </w:r>
                      <w:r>
                        <w:rPr>
                          <w:sz w:val="27"/>
                          <w:szCs w:val="28"/>
                        </w:rPr>
                        <w:t xml:space="preserve">п</w:t>
                      </w:r>
                      <w:r>
                        <w:rPr>
                          <w:sz w:val="27"/>
                          <w:szCs w:val="28"/>
                        </w:rPr>
                        <w:t xml:space="preserve">остановления Администрации города Новоалтайска </w:t>
                      </w:r>
                      <w:r>
                        <w:rPr>
                          <w:sz w:val="27"/>
                          <w:szCs w:val="28"/>
                        </w:rPr>
                        <w:t xml:space="preserve">Алтайского края от </w:t>
                      </w:r>
                      <w:r>
                        <w:rPr>
                          <w:sz w:val="27"/>
                          <w:szCs w:val="28"/>
                        </w:rPr>
                        <w:t xml:space="preserve">26.04.2012</w:t>
                      </w:r>
                      <w:r>
                        <w:rPr>
                          <w:sz w:val="27"/>
                          <w:szCs w:val="28"/>
                        </w:rPr>
                        <w:t xml:space="preserve"> № 854</w:t>
                      </w:r>
                      <w:r>
                        <w:rPr>
                          <w:sz w:val="27"/>
                          <w:szCs w:val="28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</w:r>
      <w:r>
        <w:rPr>
          <w:sz w:val="27"/>
        </w:rPr>
      </w:r>
    </w:p>
    <w:p>
      <w:pPr>
        <w:pBdr/>
        <w:spacing/>
        <w:ind w:firstLine="720"/>
        <w:jc w:val="both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>
        <w:rPr>
          <w:sz w:val="27"/>
          <w:szCs w:val="28"/>
        </w:rPr>
      </w:r>
    </w:p>
    <w:p>
      <w:pPr>
        <w:pBdr/>
        <w:spacing/>
        <w:ind w:firstLine="720"/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Bdr/>
        <w:spacing/>
        <w:ind w:firstLine="720"/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Bdr/>
        <w:tabs>
          <w:tab w:val="left" w:leader="none" w:pos="8606"/>
        </w:tabs>
        <w:spacing/>
        <w:ind w:firstLine="720"/>
        <w:jc w:val="left"/>
        <w:rPr>
          <w:sz w:val="27"/>
        </w:rPr>
      </w:pPr>
      <w:r>
        <w:rPr>
          <w:sz w:val="27"/>
        </w:rPr>
      </w:r>
      <w:r>
        <w:rPr>
          <w:sz w:val="27"/>
        </w:rPr>
        <w:tab/>
      </w:r>
      <w:r>
        <w:rPr>
          <w:rFonts w:ascii="Times New Roman" w:hAnsi="Times New Roman" w:eastAsia="Times New Roman" w:cs="Times New Roman"/>
          <w:color w:val="000000"/>
          <w:sz w:val="27"/>
          <w:szCs w:val="28"/>
        </w:rPr>
      </w:r>
      <w:r>
        <w:rPr>
          <w:sz w:val="27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color w:val="000000"/>
          <w:sz w:val="27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8"/>
        </w:rPr>
      </w:r>
      <w:r>
        <w:rPr>
          <w:rFonts w:ascii="Times New Roman" w:hAnsi="Times New Roman" w:eastAsia="Times New Roman" w:cs="Times New Roman"/>
          <w:color w:val="000000"/>
          <w:sz w:val="27"/>
          <w:szCs w:val="28"/>
        </w:rPr>
      </w:r>
      <w:r>
        <w:rPr>
          <w:rFonts w:ascii="Times New Roman" w:hAnsi="Times New Roman" w:eastAsia="Times New Roman" w:cs="Times New Roman"/>
          <w:color w:val="000000"/>
          <w:sz w:val="27"/>
          <w:szCs w:val="28"/>
        </w:rPr>
      </w:r>
    </w:p>
    <w:p>
      <w:pPr>
        <w:pBdr/>
        <w:spacing w:line="240" w:lineRule="auto"/>
        <w:ind w:right="0" w:firstLine="709" w:left="0"/>
        <w:jc w:val="both"/>
        <w:rPr>
          <w:sz w:val="27"/>
          <w:szCs w:val="28"/>
        </w:rPr>
      </w:pPr>
      <w:r>
        <w:rPr>
          <w:rFonts w:ascii="Times New Roman" w:hAnsi="Times New Roman"/>
          <w:sz w:val="27"/>
          <w:szCs w:val="28"/>
          <w:lang w:eastAsia="ru-RU" w:bidi="ru-RU"/>
        </w:rPr>
        <w:t xml:space="preserve">В</w:t>
      </w:r>
      <w:r>
        <w:rPr>
          <w:rFonts w:ascii="Times New Roman" w:hAnsi="Times New Roman"/>
          <w:sz w:val="27"/>
          <w:szCs w:val="28"/>
          <w:lang w:eastAsia="ru-RU" w:bidi="ru-RU"/>
        </w:rPr>
        <w:t xml:space="preserve"> соответствии со статьей 29 Федерального закона от 12.01.1996 № 8-ФЗ «О погребении и похоронном деле», пунктом 23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/>
          <w:sz w:val="27"/>
          <w:szCs w:val="28"/>
          <w:lang w:eastAsia="ru-RU"/>
        </w:rPr>
        <w:t xml:space="preserve">Уставом </w:t>
      </w:r>
      <w:r>
        <w:rPr>
          <w:rFonts w:ascii="Times New Roman" w:hAnsi="Times New Roman" w:eastAsia="Times New Roman"/>
          <w:sz w:val="27"/>
          <w:szCs w:val="28"/>
          <w:lang w:eastAsia="ru-RU"/>
        </w:rPr>
        <w:t xml:space="preserve">городского округа город Новоалтайск Алтайского края и постановлением Администрации города Новоалтайска Алтайского края от </w:t>
      </w:r>
      <w:hyperlink r:id="rId14" w:tooltip="http://30.08.2024" w:history="1">
        <w:r>
          <w:rPr>
            <w:rStyle w:val="966"/>
            <w:rFonts w:ascii="Times New Roman" w:hAnsi="Times New Roman" w:eastAsia="Times New Roman"/>
            <w:color w:val="000000" w:themeColor="text1"/>
            <w:sz w:val="27"/>
            <w:szCs w:val="28"/>
            <w:u w:val="none"/>
            <w:lang w:eastAsia="ru-RU"/>
          </w:rPr>
          <w:t xml:space="preserve">30.08.2024</w:t>
        </w:r>
      </w:hyperlink>
      <w:r>
        <w:rPr>
          <w:rFonts w:ascii="Times New Roman" w:hAnsi="Times New Roman" w:eastAsia="Times New Roman"/>
          <w:sz w:val="27"/>
          <w:szCs w:val="28"/>
          <w:lang w:eastAsia="ru-RU"/>
        </w:rPr>
        <w:t xml:space="preserve"> № 2094 «О внесении изменений в Устав муниципального унитарного предприятия города Новоалтайска «Новоалтайские тепловые сети», 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в целях приведения правового акта в соответствие с действующим законодательством,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 </w:t>
      </w:r>
      <w:r>
        <w:rPr>
          <w:sz w:val="27"/>
          <w:szCs w:val="28"/>
        </w:rPr>
        <w:t xml:space="preserve">п</w:t>
      </w:r>
      <w:r>
        <w:rPr>
          <w:sz w:val="27"/>
          <w:szCs w:val="28"/>
        </w:rPr>
        <w:t xml:space="preserve"> о с т а н </w:t>
      </w:r>
      <w:r>
        <w:rPr>
          <w:sz w:val="27"/>
          <w:szCs w:val="28"/>
        </w:rPr>
        <w:t xml:space="preserve">о</w:t>
      </w:r>
      <w:r>
        <w:rPr>
          <w:sz w:val="27"/>
          <w:szCs w:val="28"/>
        </w:rPr>
        <w:t xml:space="preserve"> в л я ю:</w:t>
      </w:r>
      <w:r>
        <w:rPr>
          <w:sz w:val="27"/>
        </w:rPr>
      </w:r>
      <w:r>
        <w:rPr>
          <w:sz w:val="27"/>
          <w:szCs w:val="28"/>
        </w:rPr>
      </w:r>
    </w:p>
    <w:p>
      <w:pPr>
        <w:pStyle w:val="991"/>
        <w:numPr>
          <w:ilvl w:val="0"/>
          <w:numId w:val="25"/>
        </w:numPr>
        <w:pBdr/>
        <w:tabs>
          <w:tab w:val="clear" w:leader="none" w:pos="358"/>
          <w:tab w:val="left" w:leader="none" w:pos="850"/>
        </w:tabs>
        <w:spacing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7"/>
        </w:rPr>
      </w:pPr>
      <w:r>
        <w:rPr>
          <w:rFonts w:ascii="Times New Roman" w:hAnsi="Times New Roman" w:eastAsia="Times New Roman" w:cs="Times New Roman"/>
          <w:sz w:val="27"/>
          <w:szCs w:val="28"/>
        </w:rPr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Отменить 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остановлени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 Ад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министрации города Новоалтайска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26.04.2012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 № 854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«О специализированной службе по вопросам похоронного дела в городе Новоалтайске»</w:t>
      </w:r>
      <w:r>
        <w:rPr>
          <w:rFonts w:ascii="Times New Roman" w:hAnsi="Times New Roman" w:eastAsia="Times New Roman" w:cs="Times New Roman"/>
          <w:sz w:val="27"/>
        </w:rPr>
      </w:r>
      <w:r>
        <w:rPr>
          <w:rFonts w:ascii="Times New Roman" w:hAnsi="Times New Roman" w:eastAsia="Times New Roman" w:cs="Times New Roman"/>
          <w:sz w:val="27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40" w:lineRule="auto"/>
        <w:ind w:right="0" w:firstLine="709" w:left="0"/>
        <w:jc w:val="both"/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</w:rPr>
        <w:t xml:space="preserve">2. Опубликовать настоящее постановление в Вестнике муниципального образования города Новоалтайска и разместить на официальном сайте  </w:t>
      </w:r>
      <w:r>
        <w:rPr>
          <w:rFonts w:ascii="Times New Roman" w:hAnsi="Times New Roman"/>
          <w:sz w:val="27"/>
          <w:szCs w:val="28"/>
        </w:rPr>
        <w:t xml:space="preserve">города Новоалтайска в сети «Интернет».</w:t>
      </w:r>
      <w:r>
        <w:rPr>
          <w:sz w:val="27"/>
        </w:rPr>
      </w:r>
      <w:r>
        <w:rPr>
          <w:rFonts w:ascii="Times New Roman" w:hAnsi="Times New Roman"/>
          <w:sz w:val="27"/>
          <w:szCs w:val="28"/>
          <w:highlight w:val="none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40" w:lineRule="auto"/>
        <w:ind w:right="0" w:firstLine="709" w:left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7"/>
          <w:szCs w:val="28"/>
        </w:rPr>
        <w:t xml:space="preserve">3. Контроль за</w:t>
      </w:r>
      <w:r>
        <w:rPr>
          <w:rFonts w:ascii="Times New Roman" w:hAnsi="Times New Roman"/>
          <w:sz w:val="27"/>
          <w:szCs w:val="28"/>
        </w:rPr>
        <w:t xml:space="preserve"> исполнением настоящего  постановления возложить на </w:t>
      </w:r>
      <w:r>
        <w:rPr>
          <w:rFonts w:ascii="Times New Roman" w:hAnsi="Times New Roman"/>
          <w:sz w:val="27"/>
          <w:szCs w:val="28"/>
        </w:rPr>
        <w:t xml:space="preserve">первого  заместителя главы Администрации города С.И. Лисовского. </w:t>
      </w:r>
      <w:r>
        <w:rPr>
          <w:sz w:val="27"/>
        </w:rPr>
      </w:r>
      <w:r>
        <w:rPr>
          <w:rFonts w:ascii="Times New Roman" w:hAnsi="Times New Roman"/>
          <w:sz w:val="27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</w:rPr>
        <w:t xml:space="preserve">   </w:t>
      </w:r>
      <w:r>
        <w:rPr>
          <w:sz w:val="27"/>
        </w:rPr>
      </w:r>
      <w:r>
        <w:rPr>
          <w:rFonts w:ascii="Times New Roman" w:hAnsi="Times New Roman"/>
          <w:sz w:val="27"/>
          <w:szCs w:val="28"/>
          <w:highlight w:val="none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sz w:val="27"/>
        </w:rPr>
      </w:r>
      <w:r>
        <w:rPr>
          <w:rFonts w:ascii="Times New Roman" w:hAnsi="Times New Roman"/>
          <w:sz w:val="27"/>
          <w:szCs w:val="28"/>
          <w:highlight w:val="none"/>
        </w:rPr>
      </w:r>
    </w:p>
    <w:p>
      <w:pPr>
        <w:pBdr/>
        <w:spacing w:line="283" w:lineRule="atLeast"/>
        <w:ind w:right="0" w:firstLine="0" w:left="-142"/>
        <w:rPr>
          <w:sz w:val="27"/>
          <w:highlight w:val="none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      В.Г. Бодунов</w:t>
      </w:r>
      <w:r>
        <w:rPr>
          <w:sz w:val="27"/>
        </w:rPr>
      </w:r>
      <w:r>
        <w:rPr>
          <w:sz w:val="27"/>
          <w:highlight w:val="none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sz w:val="26"/>
          <w:szCs w:val="26"/>
          <w:lang w:eastAsia="zh-CN" w:bidi="ar-SA"/>
        </w:rPr>
      </w:pPr>
      <w:r>
        <w:rPr>
          <w:sz w:val="26"/>
          <w:szCs w:val="26"/>
          <w:lang w:eastAsia="zh-CN" w:bidi="ar-SA"/>
        </w:rPr>
      </w:r>
      <w:r>
        <w:rPr>
          <w:sz w:val="26"/>
          <w:szCs w:val="26"/>
          <w:lang w:eastAsia="zh-CN" w:bidi="ar-SA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notePr/>
      <w:endnotePr/>
      <w:type w:val="continuous"/>
      <w:pgSz w:h="16840" w:orient="portrait" w:w="11907"/>
      <w:pgMar w:top="567" w:right="567" w:bottom="682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/>
      <w:jc w:val="both"/>
      <w:rPr/>
    </w:pPr>
    <w:r>
      <w:rPr>
        <w:sz w:val="26"/>
        <w:szCs w:val="26"/>
        <w:lang w:eastAsia="zh-CN" w:bidi="ar-SA"/>
      </w:rPr>
      <w:t xml:space="preserve">Н.А. Скуратова</w:t>
    </w:r>
    <w:r>
      <w:rPr>
        <w:sz w:val="26"/>
      </w:rPr>
    </w:r>
    <w:r/>
  </w:p>
  <w:p>
    <w:pPr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/>
      <w:jc w:val="both"/>
      <w:rPr/>
    </w:pPr>
    <w:r>
      <w:rPr>
        <w:sz w:val="26"/>
        <w:szCs w:val="26"/>
        <w:lang w:eastAsia="zh-CN" w:bidi="ar-SA"/>
      </w:rPr>
      <w:t xml:space="preserve">2-54-52</w:t>
    </w:r>
    <w:r>
      <w:rPr>
        <w:sz w:val="26"/>
      </w:rPr>
    </w:r>
    <w:r/>
  </w:p>
  <w:p>
    <w:pPr>
      <w:pStyle w:val="83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framePr w:hAnchor="margin" w:vAnchor="text" w:w="170" w:wrap="around" w:xAlign="right" w:y="1"/>
      <w:pBdr/>
      <w:spacing/>
      <w:ind/>
      <w:rPr>
        <w:rStyle w:val="984"/>
      </w:rPr>
    </w:pPr>
    <w:r>
      <w:rPr>
        <w:rStyle w:val="984"/>
      </w:rPr>
    </w:r>
    <w:r>
      <w:rPr>
        <w:rStyle w:val="984"/>
      </w:rPr>
    </w:r>
  </w:p>
  <w:p>
    <w:pPr>
      <w:pStyle w:val="834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421" w:left="21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1" w:left="216"/>
      </w:pPr>
      <w:rPr>
        <w:rFonts w:ascii="Times New Roman" w:hAnsi="Times New Roman"/>
        <w:b w:val="0"/>
        <w:bCs w:val="0"/>
        <w:sz w:val="28"/>
        <w:szCs w:val="26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1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421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421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421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421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421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21" w:left="8368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421" w:left="21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1" w:left="216"/>
      </w:pPr>
      <w:rPr>
        <w:rFonts w:ascii="Times New Roman" w:hAnsi="Times New Roman"/>
        <w:b w:val="0"/>
        <w:bCs w:val="0"/>
        <w:sz w:val="26"/>
        <w:szCs w:val="26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1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421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421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421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421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421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21" w:left="8368"/>
      </w:pPr>
      <w:rPr/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235" w:left="1159"/>
      </w:pPr>
      <w:rPr>
        <w:rFonts w:ascii="Times New Roman" w:hAnsi="Times New Roman"/>
        <w:b w:val="0"/>
        <w:bCs w:val="0"/>
        <w:sz w:val="28"/>
        <w:szCs w:val="26"/>
      </w:rPr>
      <w:start w:val="4"/>
      <w:suff w:val="tab"/>
    </w:lvl>
    <w:lvl w:ilvl="1">
      <w:isLgl w:val="false"/>
      <w:lvlJc w:val="left"/>
      <w:lvlText w:val="•"/>
      <w:numFmt w:val="bullet"/>
      <w:pPr>
        <w:pBdr/>
        <w:spacing/>
        <w:ind w:hanging="235" w:left="2084"/>
      </w:pPr>
      <w:rPr/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35" w:left="3009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35" w:left="3933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35" w:left="4858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35" w:left="578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35" w:left="6707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35" w:left="7631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35" w:left="8556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color w:val="000000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7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6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288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720" w:left="360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468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080" w:left="54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648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7200"/>
      </w:pPr>
      <w:rPr>
        <w:color w:val="000000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235" w:left="216"/>
      </w:pPr>
      <w:rPr>
        <w:rFonts w:ascii="Times New Roman" w:hAnsi="Times New Roman"/>
        <w:b w:val="0"/>
        <w:bCs w:val="0"/>
        <w:sz w:val="26"/>
        <w:szCs w:val="26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35" w:left="1238"/>
      </w:pPr>
      <w:rPr/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35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35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35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35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35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35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35" w:left="8368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22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1129"/>
      </w:pPr>
      <w:rPr>
        <w:highlight w:val="whit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429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789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49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2149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50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b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70"/>
      </w:pPr>
      <w:rPr>
        <w:highlight w:val="whit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432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793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794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55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2156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517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420" w:left="420"/>
      </w:pPr>
      <w:rPr/>
      <w:start w:val="11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1129"/>
      </w:pPr>
      <w:rPr/>
      <w:start w:val="6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2847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462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6403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7472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spacing/>
        <w:ind w:hanging="480" w:left="48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80" w:left="834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288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782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496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285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564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18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32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"/>
      <w:numFmt w:val="decimal"/>
      <w:pPr>
        <w:pBdr/>
        <w:spacing/>
        <w:ind w:hanging="420" w:left="420"/>
      </w:pPr>
      <w:rPr/>
      <w:start w:val="21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21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31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05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6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5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5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60"/>
      </w:pPr>
      <w:rPr/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sz w:val="26"/>
        <w:szCs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sz w:val="26"/>
        <w:szCs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0"/>
  </w:num>
  <w:num w:numId="5">
    <w:abstractNumId w:val="9"/>
  </w:num>
  <w:num w:numId="6">
    <w:abstractNumId w:val="3"/>
  </w:num>
  <w:num w:numId="7">
    <w:abstractNumId w:val="16"/>
  </w:num>
  <w:num w:numId="8">
    <w:abstractNumId w:val="23"/>
  </w:num>
  <w:num w:numId="9">
    <w:abstractNumId w:val="1"/>
  </w:num>
  <w:num w:numId="10">
    <w:abstractNumId w:val="19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8"/>
  </w:num>
  <w:num w:numId="16">
    <w:abstractNumId w:val="8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4"/>
  </w:num>
  <w:num w:numId="22">
    <w:abstractNumId w:val="22"/>
  </w:num>
  <w:num w:numId="23">
    <w:abstractNumId w:val="14"/>
  </w:num>
  <w:num w:numId="24">
    <w:abstractNumId w:val="5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3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85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6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7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8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Title Char"/>
    <w:basedOn w:val="812"/>
    <w:link w:val="826"/>
    <w:uiPriority w:val="10"/>
    <w:pPr>
      <w:pBdr/>
      <w:spacing/>
      <w:ind/>
    </w:pPr>
    <w:rPr>
      <w:sz w:val="48"/>
      <w:szCs w:val="48"/>
    </w:rPr>
  </w:style>
  <w:style w:type="character" w:styleId="795">
    <w:name w:val="Subtitle Char"/>
    <w:basedOn w:val="812"/>
    <w:link w:val="828"/>
    <w:uiPriority w:val="11"/>
    <w:pPr>
      <w:pBdr/>
      <w:spacing/>
      <w:ind/>
    </w:pPr>
    <w:rPr>
      <w:sz w:val="24"/>
      <w:szCs w:val="24"/>
    </w:rPr>
  </w:style>
  <w:style w:type="character" w:styleId="796">
    <w:name w:val="Quote Char"/>
    <w:link w:val="830"/>
    <w:uiPriority w:val="29"/>
    <w:pPr>
      <w:pBdr/>
      <w:spacing/>
      <w:ind/>
    </w:pPr>
    <w:rPr>
      <w:i/>
    </w:rPr>
  </w:style>
  <w:style w:type="character" w:styleId="797">
    <w:name w:val="Intense Quote Char"/>
    <w:link w:val="832"/>
    <w:uiPriority w:val="30"/>
    <w:pPr>
      <w:pBdr/>
      <w:spacing/>
      <w:ind/>
    </w:pPr>
    <w:rPr>
      <w:i/>
    </w:rPr>
  </w:style>
  <w:style w:type="character" w:styleId="798">
    <w:name w:val="Header Char"/>
    <w:basedOn w:val="812"/>
    <w:link w:val="834"/>
    <w:uiPriority w:val="99"/>
    <w:pPr>
      <w:pBdr/>
      <w:spacing/>
      <w:ind/>
    </w:pPr>
  </w:style>
  <w:style w:type="character" w:styleId="799">
    <w:name w:val="Caption Char"/>
    <w:basedOn w:val="838"/>
    <w:link w:val="836"/>
    <w:uiPriority w:val="99"/>
    <w:pPr>
      <w:pBdr/>
      <w:spacing/>
      <w:ind/>
    </w:pPr>
  </w:style>
  <w:style w:type="character" w:styleId="800">
    <w:name w:val="Footnote Text Char"/>
    <w:link w:val="967"/>
    <w:uiPriority w:val="99"/>
    <w:pPr>
      <w:pBdr/>
      <w:spacing/>
      <w:ind/>
    </w:pPr>
    <w:rPr>
      <w:sz w:val="18"/>
    </w:rPr>
  </w:style>
  <w:style w:type="character" w:styleId="801">
    <w:name w:val="Endnote Text Char"/>
    <w:link w:val="970"/>
    <w:uiPriority w:val="99"/>
    <w:pPr>
      <w:pBdr/>
      <w:spacing/>
      <w:ind/>
    </w:pPr>
    <w:rPr>
      <w:sz w:val="20"/>
    </w:rPr>
  </w:style>
  <w:style w:type="paragraph" w:styleId="802" w:default="1">
    <w:name w:val="Normal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ru-RU"/>
    </w:rPr>
  </w:style>
  <w:style w:type="paragraph" w:styleId="803">
    <w:name w:val="Heading 1"/>
    <w:basedOn w:val="802"/>
    <w:next w:val="802"/>
    <w:link w:val="815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04">
    <w:name w:val="Heading 2"/>
    <w:basedOn w:val="802"/>
    <w:next w:val="802"/>
    <w:link w:val="816"/>
    <w:pPr>
      <w:keepNext w:val="true"/>
      <w:pBdr/>
      <w:spacing/>
      <w:ind/>
      <w:jc w:val="center"/>
      <w:outlineLvl w:val="1"/>
    </w:pPr>
    <w:rPr>
      <w:sz w:val="28"/>
    </w:rPr>
  </w:style>
  <w:style w:type="paragraph" w:styleId="805">
    <w:name w:val="Heading 3"/>
    <w:basedOn w:val="802"/>
    <w:next w:val="802"/>
    <w:link w:val="817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806">
    <w:name w:val="Heading 4"/>
    <w:basedOn w:val="802"/>
    <w:next w:val="802"/>
    <w:link w:val="818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07">
    <w:name w:val="Heading 5"/>
    <w:basedOn w:val="802"/>
    <w:next w:val="802"/>
    <w:link w:val="819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08">
    <w:name w:val="Heading 6"/>
    <w:basedOn w:val="802"/>
    <w:next w:val="802"/>
    <w:link w:val="820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809">
    <w:name w:val="Heading 7"/>
    <w:basedOn w:val="802"/>
    <w:next w:val="802"/>
    <w:link w:val="821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810">
    <w:name w:val="Heading 8"/>
    <w:basedOn w:val="802"/>
    <w:next w:val="802"/>
    <w:link w:val="822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811">
    <w:name w:val="Heading 9"/>
    <w:basedOn w:val="802"/>
    <w:next w:val="802"/>
    <w:link w:val="823"/>
    <w:pPr>
      <w:keepNext w:val="true"/>
      <w:pBdr/>
      <w:spacing/>
      <w:ind/>
      <w:jc w:val="right"/>
      <w:outlineLvl w:val="8"/>
    </w:pPr>
    <w:rPr>
      <w:sz w:val="2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table" w:styleId="8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4" w:default="1">
    <w:name w:val="No List"/>
    <w:uiPriority w:val="99"/>
    <w:semiHidden/>
    <w:unhideWhenUsed/>
    <w:pPr>
      <w:pBdr/>
      <w:spacing/>
      <w:ind/>
    </w:pPr>
  </w:style>
  <w:style w:type="character" w:styleId="815" w:customStyle="1">
    <w:name w:val="Заголовок 1 Знак"/>
    <w:link w:val="8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"/>
    <w:link w:val="80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7" w:customStyle="1">
    <w:name w:val="Заголовок 3 Знак"/>
    <w:link w:val="80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link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link w:val="80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link w:val="8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link w:val="8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link w:val="8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802"/>
    <w:uiPriority w:val="34"/>
    <w:qFormat/>
    <w:pPr>
      <w:pBdr/>
      <w:spacing/>
      <w:ind w:left="720"/>
      <w:contextualSpacing w:val="true"/>
    </w:pPr>
  </w:style>
  <w:style w:type="paragraph" w:styleId="825">
    <w:name w:val="No Spacing"/>
    <w:link w:val="98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851"/>
      <w:jc w:val="both"/>
    </w:pPr>
    <w:rPr>
      <w:sz w:val="28"/>
      <w:szCs w:val="28"/>
      <w:lang w:eastAsia="ru-RU"/>
    </w:rPr>
  </w:style>
  <w:style w:type="paragraph" w:styleId="826">
    <w:name w:val="Title"/>
    <w:basedOn w:val="802"/>
    <w:next w:val="802"/>
    <w:link w:val="8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27" w:customStyle="1">
    <w:name w:val="Название Знак"/>
    <w:link w:val="826"/>
    <w:uiPriority w:val="10"/>
    <w:pPr>
      <w:pBdr/>
      <w:spacing/>
      <w:ind/>
    </w:pPr>
    <w:rPr>
      <w:sz w:val="48"/>
      <w:szCs w:val="48"/>
    </w:rPr>
  </w:style>
  <w:style w:type="paragraph" w:styleId="828">
    <w:name w:val="Subtitle"/>
    <w:basedOn w:val="802"/>
    <w:next w:val="802"/>
    <w:link w:val="8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29" w:customStyle="1">
    <w:name w:val="Подзаголовок Знак"/>
    <w:link w:val="828"/>
    <w:uiPriority w:val="11"/>
    <w:pPr>
      <w:pBdr/>
      <w:spacing/>
      <w:ind/>
    </w:pPr>
    <w:rPr>
      <w:sz w:val="24"/>
      <w:szCs w:val="24"/>
    </w:rPr>
  </w:style>
  <w:style w:type="paragraph" w:styleId="830">
    <w:name w:val="Quote"/>
    <w:basedOn w:val="802"/>
    <w:next w:val="802"/>
    <w:link w:val="831"/>
    <w:uiPriority w:val="29"/>
    <w:qFormat/>
    <w:pPr>
      <w:pBdr/>
      <w:spacing/>
      <w:ind w:right="720" w:left="720"/>
    </w:pPr>
    <w:rPr>
      <w:i/>
    </w:rPr>
  </w:style>
  <w:style w:type="character" w:styleId="831" w:customStyle="1">
    <w:name w:val="Цитата 2 Знак"/>
    <w:link w:val="830"/>
    <w:uiPriority w:val="29"/>
    <w:pPr>
      <w:pBdr/>
      <w:spacing/>
      <w:ind/>
    </w:pPr>
    <w:rPr>
      <w:i/>
    </w:rPr>
  </w:style>
  <w:style w:type="paragraph" w:styleId="832">
    <w:name w:val="Intense Quote"/>
    <w:basedOn w:val="802"/>
    <w:next w:val="802"/>
    <w:link w:val="8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833" w:customStyle="1">
    <w:name w:val="Выделенная цитата Знак"/>
    <w:link w:val="832"/>
    <w:uiPriority w:val="30"/>
    <w:pPr>
      <w:pBdr/>
      <w:spacing/>
      <w:ind/>
    </w:pPr>
    <w:rPr>
      <w:i/>
    </w:rPr>
  </w:style>
  <w:style w:type="paragraph" w:styleId="834">
    <w:name w:val="Header"/>
    <w:basedOn w:val="802"/>
    <w:link w:val="835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5" w:customStyle="1">
    <w:name w:val="Верхний колонтитул Знак"/>
    <w:link w:val="834"/>
    <w:uiPriority w:val="99"/>
    <w:pPr>
      <w:pBdr/>
      <w:spacing/>
      <w:ind/>
    </w:pPr>
  </w:style>
  <w:style w:type="paragraph" w:styleId="836">
    <w:name w:val="Footer"/>
    <w:basedOn w:val="802"/>
    <w:link w:val="83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7" w:customStyle="1">
    <w:name w:val="Footer Char"/>
    <w:uiPriority w:val="99"/>
    <w:pPr>
      <w:pBdr/>
      <w:spacing/>
      <w:ind/>
    </w:pPr>
  </w:style>
  <w:style w:type="paragraph" w:styleId="838">
    <w:name w:val="Caption"/>
    <w:basedOn w:val="802"/>
    <w:next w:val="802"/>
    <w:pPr>
      <w:pBdr/>
      <w:spacing w:before="240"/>
      <w:ind/>
      <w:jc w:val="center"/>
    </w:pPr>
    <w:rPr>
      <w:smallCaps/>
      <w:spacing w:val="40"/>
      <w:sz w:val="28"/>
    </w:rPr>
  </w:style>
  <w:style w:type="character" w:styleId="839" w:customStyle="1">
    <w:name w:val="Нижний колонтитул Знак"/>
    <w:link w:val="836"/>
    <w:uiPriority w:val="99"/>
    <w:pPr>
      <w:pBdr/>
      <w:spacing/>
      <w:ind/>
    </w:pPr>
  </w:style>
  <w:style w:type="table" w:styleId="840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67">
    <w:name w:val="footnote text"/>
    <w:basedOn w:val="802"/>
    <w:link w:val="968"/>
    <w:semiHidden/>
    <w:pPr>
      <w:widowControl w:val="true"/>
      <w:pBdr/>
      <w:spacing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styleId="968" w:customStyle="1">
    <w:name w:val="Текст сноски Знак"/>
    <w:link w:val="967"/>
    <w:uiPriority w:val="99"/>
    <w:pPr>
      <w:pBdr/>
      <w:spacing/>
      <w:ind/>
    </w:pPr>
    <w:rPr>
      <w:sz w:val="18"/>
    </w:rPr>
  </w:style>
  <w:style w:type="character" w:styleId="969">
    <w:name w:val="footnote reference"/>
    <w:semiHidden/>
    <w:pPr>
      <w:pBdr/>
      <w:spacing/>
      <w:ind/>
    </w:pPr>
    <w:rPr>
      <w:vertAlign w:val="superscript"/>
    </w:rPr>
  </w:style>
  <w:style w:type="paragraph" w:styleId="970">
    <w:name w:val="endnote text"/>
    <w:basedOn w:val="802"/>
    <w:link w:val="971"/>
    <w:uiPriority w:val="99"/>
    <w:semiHidden/>
    <w:unhideWhenUsed/>
    <w:pPr>
      <w:pBdr/>
      <w:spacing/>
      <w:ind/>
    </w:pPr>
    <w:rPr>
      <w:sz w:val="20"/>
    </w:rPr>
  </w:style>
  <w:style w:type="character" w:styleId="971" w:customStyle="1">
    <w:name w:val="Текст концевой сноски Знак"/>
    <w:link w:val="970"/>
    <w:uiPriority w:val="99"/>
    <w:pPr>
      <w:pBdr/>
      <w:spacing/>
      <w:ind/>
    </w:pPr>
    <w:rPr>
      <w:sz w:val="20"/>
    </w:rPr>
  </w:style>
  <w:style w:type="character" w:styleId="97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3">
    <w:name w:val="toc 1"/>
    <w:basedOn w:val="802"/>
    <w:next w:val="802"/>
    <w:uiPriority w:val="39"/>
    <w:unhideWhenUsed/>
    <w:pPr>
      <w:pBdr/>
      <w:spacing w:after="57"/>
      <w:ind/>
    </w:pPr>
  </w:style>
  <w:style w:type="paragraph" w:styleId="974">
    <w:name w:val="toc 2"/>
    <w:basedOn w:val="802"/>
    <w:next w:val="802"/>
    <w:uiPriority w:val="39"/>
    <w:unhideWhenUsed/>
    <w:pPr>
      <w:pBdr/>
      <w:spacing w:after="57"/>
      <w:ind w:left="283"/>
    </w:pPr>
  </w:style>
  <w:style w:type="paragraph" w:styleId="975">
    <w:name w:val="toc 3"/>
    <w:basedOn w:val="802"/>
    <w:next w:val="802"/>
    <w:uiPriority w:val="39"/>
    <w:unhideWhenUsed/>
    <w:pPr>
      <w:pBdr/>
      <w:spacing w:after="57"/>
      <w:ind w:left="567"/>
    </w:pPr>
  </w:style>
  <w:style w:type="paragraph" w:styleId="976">
    <w:name w:val="toc 4"/>
    <w:basedOn w:val="802"/>
    <w:next w:val="802"/>
    <w:uiPriority w:val="39"/>
    <w:unhideWhenUsed/>
    <w:pPr>
      <w:pBdr/>
      <w:spacing w:after="57"/>
      <w:ind w:left="850"/>
    </w:pPr>
  </w:style>
  <w:style w:type="paragraph" w:styleId="977">
    <w:name w:val="toc 5"/>
    <w:basedOn w:val="802"/>
    <w:next w:val="802"/>
    <w:uiPriority w:val="39"/>
    <w:unhideWhenUsed/>
    <w:pPr>
      <w:pBdr/>
      <w:spacing w:after="57"/>
      <w:ind w:left="1134"/>
    </w:pPr>
  </w:style>
  <w:style w:type="paragraph" w:styleId="978">
    <w:name w:val="toc 6"/>
    <w:basedOn w:val="802"/>
    <w:next w:val="802"/>
    <w:uiPriority w:val="39"/>
    <w:unhideWhenUsed/>
    <w:pPr>
      <w:pBdr/>
      <w:spacing w:after="57"/>
      <w:ind w:left="1417"/>
    </w:pPr>
  </w:style>
  <w:style w:type="paragraph" w:styleId="979">
    <w:name w:val="toc 7"/>
    <w:basedOn w:val="802"/>
    <w:next w:val="802"/>
    <w:uiPriority w:val="39"/>
    <w:unhideWhenUsed/>
    <w:pPr>
      <w:pBdr/>
      <w:spacing w:after="57"/>
      <w:ind w:left="1701"/>
    </w:pPr>
  </w:style>
  <w:style w:type="paragraph" w:styleId="980">
    <w:name w:val="toc 8"/>
    <w:basedOn w:val="802"/>
    <w:next w:val="802"/>
    <w:uiPriority w:val="39"/>
    <w:unhideWhenUsed/>
    <w:pPr>
      <w:pBdr/>
      <w:spacing w:after="57"/>
      <w:ind w:left="1984"/>
    </w:pPr>
  </w:style>
  <w:style w:type="paragraph" w:styleId="981">
    <w:name w:val="toc 9"/>
    <w:basedOn w:val="802"/>
    <w:next w:val="802"/>
    <w:uiPriority w:val="39"/>
    <w:unhideWhenUsed/>
    <w:pPr>
      <w:pBdr/>
      <w:spacing w:after="57"/>
      <w:ind w:left="2268"/>
    </w:pPr>
  </w:style>
  <w:style w:type="paragraph" w:styleId="982">
    <w:name w:val="TOC Heading"/>
    <w:uiPriority w:val="39"/>
    <w:unhideWhenUsed/>
    <w:pPr>
      <w:pBdr/>
      <w:spacing/>
      <w:ind/>
    </w:pPr>
  </w:style>
  <w:style w:type="paragraph" w:styleId="983">
    <w:name w:val="table of figures"/>
    <w:basedOn w:val="802"/>
    <w:next w:val="802"/>
    <w:uiPriority w:val="99"/>
    <w:unhideWhenUsed/>
    <w:pPr>
      <w:pBdr/>
      <w:spacing/>
      <w:ind/>
    </w:pPr>
  </w:style>
  <w:style w:type="character" w:styleId="984">
    <w:name w:val="page number"/>
    <w:basedOn w:val="812"/>
    <w:pPr>
      <w:pBdr/>
      <w:spacing/>
      <w:ind/>
    </w:pPr>
  </w:style>
  <w:style w:type="paragraph" w:styleId="985">
    <w:name w:val="Body Text Indent"/>
    <w:basedOn w:val="802"/>
    <w:pPr>
      <w:pBdr/>
      <w:spacing w:line="360" w:lineRule="auto"/>
      <w:ind w:firstLine="720"/>
      <w:jc w:val="both"/>
    </w:pPr>
    <w:rPr>
      <w:sz w:val="28"/>
    </w:rPr>
  </w:style>
  <w:style w:type="paragraph" w:styleId="986">
    <w:name w:val="Body Text"/>
    <w:basedOn w:val="802"/>
    <w:pPr>
      <w:pBdr/>
      <w:spacing w:line="240" w:lineRule="exact"/>
      <w:ind/>
      <w:jc w:val="both"/>
    </w:pPr>
    <w:rPr>
      <w:sz w:val="28"/>
    </w:rPr>
  </w:style>
  <w:style w:type="paragraph" w:styleId="987">
    <w:name w:val="Body Text 2"/>
    <w:basedOn w:val="802"/>
    <w:pPr>
      <w:pBdr/>
      <w:spacing w:line="240" w:lineRule="exact"/>
      <w:ind/>
    </w:pPr>
    <w:rPr>
      <w:sz w:val="28"/>
      <w:lang w:val="en-US"/>
    </w:rPr>
  </w:style>
  <w:style w:type="paragraph" w:styleId="988">
    <w:name w:val="Document Map"/>
    <w:basedOn w:val="802"/>
    <w:link w:val="825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89">
    <w:name w:val="Balloon Text"/>
    <w:basedOn w:val="802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90">
    <w:name w:val="Strong"/>
    <w:pPr>
      <w:pBdr/>
      <w:spacing/>
      <w:ind/>
    </w:pPr>
    <w:rPr>
      <w:b/>
      <w:bCs/>
    </w:rPr>
  </w:style>
  <w:style w:type="paragraph" w:styleId="991" w:customStyle="1">
    <w:name w:val="ConsPlusNonformat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ourier New" w:hAnsi="Courier New"/>
      <w:lang w:eastAsia="ru-RU"/>
    </w:rPr>
  </w:style>
  <w:style w:type="character" w:styleId="992">
    <w:name w:val="Emphasis"/>
    <w:pPr>
      <w:pBdr/>
      <w:spacing/>
      <w:ind/>
    </w:pPr>
    <w:rPr>
      <w:i/>
      <w:iCs/>
    </w:rPr>
  </w:style>
  <w:style w:type="paragraph" w:styleId="993" w:customStyle="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988"/>
    <w:pPr>
      <w:pBdr/>
      <w:spacing/>
      <w:ind w:firstLine="709" w:left="215"/>
    </w:pPr>
    <w:rPr>
      <w:rFonts w:ascii="Times New Roman" w:hAnsi="Times New Roman"/>
      <w:sz w:val="24"/>
      <w:szCs w:val="24"/>
      <w:lang w:val="en-US" w:eastAsia="en-US"/>
    </w:rPr>
  </w:style>
  <w:style w:type="paragraph" w:styleId="994">
    <w:name w:val="annotation text"/>
    <w:basedOn w:val="988"/>
    <w:pPr>
      <w:pBdr/>
      <w:spacing/>
      <w:ind/>
    </w:pPr>
    <w:rPr>
      <w:rFonts w:ascii="Times New Roman" w:hAnsi="Times New Roman"/>
      <w:sz w:val="20"/>
      <w:szCs w:val="20"/>
      <w:lang w:val="en-US" w:eastAsia="en-US"/>
    </w:rPr>
  </w:style>
  <w:style w:type="paragraph" w:styleId="995" w:customStyle="1">
    <w:name w:val="Обычный + 14 пт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  <w:lang w:eastAsia="ru-RU"/>
    </w:rPr>
  </w:style>
  <w:style w:type="paragraph" w:styleId="996" w:customStyle="1">
    <w:name w:val="Прижатый влево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997" w:customStyle="1">
    <w:name w:val="ConsPlusNormal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cs="Arial"/>
      <w:lang w:eastAsia="ru-RU"/>
    </w:rPr>
  </w:style>
  <w:style w:type="paragraph" w:styleId="998" w:customStyle="1">
    <w:name w:val="Основной текст (2)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ffffff" w:fill="ffffff"/>
      <w:spacing w:before="960" w:line="367" w:lineRule="exact"/>
      <w:ind/>
      <w:jc w:val="both"/>
    </w:pPr>
    <w:rPr>
      <w:sz w:val="28"/>
      <w:szCs w:val="28"/>
      <w:lang w:eastAsia="ru-RU"/>
    </w:rPr>
  </w:style>
  <w:style w:type="paragraph" w:styleId="999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Relationship Id="rId14" Type="http://schemas.openxmlformats.org/officeDocument/2006/relationships/hyperlink" Target="http://30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created xsi:type="dcterms:W3CDTF">2022-12-29T13:43:00Z</dcterms:created>
  <dcterms:modified xsi:type="dcterms:W3CDTF">2025-02-12T09:44:22Z</dcterms:modified>
</cp:coreProperties>
</file>