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45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57"/>
        <w:pBdr/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925" cy="609600"/>
                <wp:effectExtent l="19050" t="0" r="9525" b="0"/>
                <wp:docPr id="1" name="Рисунок 5" descr="gerb-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5" descr="gerb-bw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>
                          <a:lum contrast="12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429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75pt;height:48.00pt;mso-wrap-distance-left:0.00pt;mso-wrap-distance-top:0.00pt;mso-wrap-distance-right:0.00pt;mso-wrap-distance-bottom:0.00pt;z-index:1;" stroked="f" strokeweight="0.75pt">
                <v:imagedata r:id="rId19" o:title=""/>
                <o:lock v:ext="edit" rotation="t"/>
              </v:shape>
            </w:pict>
          </mc:Fallback>
        </mc:AlternateContent>
      </w:r>
      <w:r>
        <w:rPr>
          <w:b/>
        </w:rPr>
      </w:r>
    </w:p>
    <w:p>
      <w:pPr>
        <w:pStyle w:val="757"/>
        <w:pBdr/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Style w:val="774"/>
        <w:tblW w:w="97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57"/>
        <w:gridCol w:w="4749"/>
        <w:gridCol w:w="108"/>
      </w:tblGrid>
      <w:tr>
        <w:trPr>
          <w:gridAfter w:val="1"/>
          <w:trHeight w:val="1020"/>
        </w:trPr>
        <w:tc>
          <w:tcPr>
            <w:gridSpan w:val="2"/>
            <w:tcBorders/>
            <w:tcW w:w="9606" w:type="dxa"/>
            <w:textDirection w:val="lrTb"/>
            <w:noWrap w:val="false"/>
          </w:tcPr>
          <w:p>
            <w:pPr>
              <w:pStyle w:val="742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741"/>
              <w:pBdr/>
              <w:spacing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gridAfter w:val="1"/>
          <w:trHeight w:val="700"/>
        </w:trPr>
        <w:tc>
          <w:tcPr>
            <w:gridSpan w:val="2"/>
            <w:tcBorders/>
            <w:tcW w:w="960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27.05.2025                                                                                                       № 1092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85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 внесении изменения в постановление Администрации города от 25.12.2020 № 2016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/>
            <w:tcW w:w="485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корректировкой объема бюджетных ассигнований, руководствуясь Федеральным законом от 06.10.2003 № 131-ФЗ «Об общих принципах организации местного самоуправления в Российской Федерации», решением Н</w:t>
      </w:r>
      <w:r>
        <w:rPr>
          <w:sz w:val="28"/>
          <w:szCs w:val="28"/>
          <w:lang w:val="ru-RU"/>
        </w:rPr>
        <w:t xml:space="preserve">овоалтайского</w:t>
      </w:r>
      <w:r>
        <w:rPr>
          <w:rFonts w:hint="default"/>
          <w:sz w:val="28"/>
          <w:szCs w:val="28"/>
          <w:lang w:val="ru-RU"/>
        </w:rPr>
        <w:t xml:space="preserve"> городского Собрания депутатов</w:t>
      </w:r>
      <w:r>
        <w:rPr>
          <w:sz w:val="28"/>
          <w:szCs w:val="28"/>
        </w:rPr>
        <w:t xml:space="preserve"> от 15.04.2025 №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6 «О внесении изменений в решение Новоалтайского городского Собрания депутатов от 17.12.2024 № 28 «О бюджете городского округа города Новоалтайска на 2025 год и на плановый период 2026 и 2027 годов»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pacing w:val="80"/>
          <w:sz w:val="28"/>
          <w:szCs w:val="28"/>
        </w:rPr>
        <w:t xml:space="preserve">постановля</w:t>
      </w:r>
      <w:r>
        <w:rPr>
          <w:spacing w:val="80"/>
          <w:sz w:val="28"/>
          <w:szCs w:val="28"/>
          <w:lang w:val="ru-RU"/>
        </w:rPr>
        <w:t xml:space="preserve">ю</w:t>
      </w:r>
      <w:r>
        <w:rPr>
          <w:spacing w:val="80"/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постановление Администрации города Новоалтайска от 25.12.2020 № 2016 «Об утверждении муниципальной программы «Развитие культуры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городе Новоалтайске на 2021 – 2025 годы» (далее - постановление) внести следующее изменение:</w:t>
      </w:r>
      <w:r>
        <w:rPr>
          <w:sz w:val="28"/>
          <w:szCs w:val="28"/>
        </w:rPr>
      </w:r>
    </w:p>
    <w:p>
      <w:pPr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приложение к постановлению изложить в новой редакции, согласно приложению к настоящему постановлению.</w:t>
      </w:r>
      <w:r>
        <w:rPr>
          <w:sz w:val="28"/>
          <w:szCs w:val="28"/>
        </w:rPr>
      </w:r>
    </w:p>
    <w:p>
      <w:pPr>
        <w:pBdr/>
        <w:tabs>
          <w:tab w:val="left" w:leader="none" w:pos="709"/>
        </w:tabs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Вестнике городского округа город Новоалтайск Алтайского края и разместить на официальном сайте города Новоалтайска в сети Интернет.</w:t>
      </w:r>
      <w:r>
        <w:rPr>
          <w:sz w:val="28"/>
          <w:szCs w:val="28"/>
        </w:rPr>
      </w:r>
    </w:p>
    <w:p>
      <w:pPr>
        <w:pStyle w:val="937"/>
        <w:pBdr/>
        <w:spacing/>
        <w:ind w:right="25"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Ерохину Н.Г.</w:t>
      </w:r>
      <w:r>
        <w:rPr>
          <w:sz w:val="28"/>
          <w:szCs w:val="28"/>
        </w:rPr>
      </w:r>
    </w:p>
    <w:p>
      <w:pPr>
        <w:pStyle w:val="937"/>
        <w:pBdr/>
        <w:tabs>
          <w:tab w:val="left" w:leader="none" w:pos="709"/>
        </w:tabs>
        <w:spacing/>
        <w:ind w:right="2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7"/>
        <w:pBdr/>
        <w:tabs>
          <w:tab w:val="left" w:leader="none" w:pos="709"/>
        </w:tabs>
        <w:spacing/>
        <w:ind w:right="2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7"/>
        <w:pBdr/>
        <w:tabs>
          <w:tab w:val="left" w:leader="none" w:pos="709"/>
        </w:tabs>
        <w:spacing/>
        <w:ind w:right="2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7"/>
        <w:pBdr/>
        <w:tabs>
          <w:tab w:val="left" w:leader="none" w:pos="0"/>
        </w:tabs>
        <w:spacing/>
        <w:ind w:right="25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      В.Г. Бодунов</w:t>
      </w:r>
      <w:r>
        <w:rPr>
          <w:sz w:val="28"/>
          <w:szCs w:val="28"/>
        </w:rPr>
      </w:r>
    </w:p>
    <w:p>
      <w:pPr>
        <w:pStyle w:val="937"/>
        <w:pBdr/>
        <w:tabs>
          <w:tab w:val="left" w:leader="none" w:pos="0"/>
        </w:tabs>
        <w:spacing/>
        <w:ind w:right="25" w:hanging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7"/>
        <w:pBdr/>
        <w:tabs>
          <w:tab w:val="left" w:leader="none" w:pos="0"/>
        </w:tabs>
        <w:spacing/>
        <w:ind w:right="25" w:hanging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</w:p>
    <w:tbl>
      <w:tblPr>
        <w:tblStyle w:val="774"/>
        <w:tblW w:w="0" w:type="auto"/>
        <w:tblInd w:w="52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5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58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к постановлению                                                       Администрации города Новоалтайска                                                            от 27.05.2025 № 1092</w:t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«Приложение к постановлению                                                      Администрации города Новоалтайска                                                                от 25.12.2020 № 2016»</w:t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widowControl w:val="false"/>
        <w:pBdr/>
        <w:spacing/>
        <w:ind/>
        <w:outlineLvl w:val="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</w:t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культуры в городе Новоалтайске на 2021-2025 годы» </w:t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7"/>
        <w:widowControl w:val="false"/>
        <w:numPr>
          <w:ilvl w:val="0"/>
          <w:numId w:val="1"/>
        </w:numPr>
        <w:pBdr/>
        <w:spacing/>
        <w:ind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ПАСПОРТ</w:t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</w:t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культуры в городе Новоалтайске на</w:t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2021-2025 годы» </w:t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(далее – Программа)</w:t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44"/>
        <w:tblW w:w="9581" w:type="dxa"/>
        <w:tblInd w:w="102" w:type="dxa"/>
        <w:tblBorders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4A0" w:firstRow="1" w:lastRow="0" w:firstColumn="1" w:lastColumn="0" w:noHBand="0" w:noVBand="1"/>
      </w:tblPr>
      <w:tblGrid>
        <w:gridCol w:w="3402"/>
        <w:gridCol w:w="617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40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исполнитель Программы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6179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культуре Администрации г. Новоалтайска (далее – комитет по культуре)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40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Программы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6179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бюджетные учреждения культуры, муниципальные бюджетные учреждения дополнительного образования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4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40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 Программы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6179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Отсутствуют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4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40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Программы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6179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культуры в городе Новоалтайске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40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Программы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6179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 Обеспечение сохранности и использования объектов культурного наследия города.</w:t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 Повышение доступности и качества услуг и работ в сфере библиотечного дела.</w:t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Повышение доступности и качества музейных услуг и работ.</w:t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Создание условий для сохранения и развития коллективов самодеятельного творчества, а также традиционной народной культуры.</w:t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Модернизация художественного образования.</w:t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 Обеспечение процесса организации условий развития сферы культуры города.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40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индикаторы и показатели Программы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6179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rStyle w:val="943"/>
                <w:b w:val="0"/>
                <w:sz w:val="28"/>
                <w:szCs w:val="28"/>
              </w:rPr>
            </w:pPr>
            <w:r>
              <w:rPr>
                <w:rStyle w:val="943"/>
                <w:b w:val="0"/>
                <w:sz w:val="28"/>
                <w:szCs w:val="28"/>
              </w:rPr>
              <w:t xml:space="preserve">1. Доля объектов культурного наследия, находящихся в удовлетворительном состоянии, в общем количестве объектов культурного наследия регионального значения на территории города.</w:t>
            </w:r>
            <w:r>
              <w:rPr>
                <w:rStyle w:val="943"/>
                <w:b w:val="0"/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Style w:val="943"/>
                <w:b w:val="0"/>
                <w:sz w:val="28"/>
                <w:szCs w:val="28"/>
              </w:rPr>
            </w:pPr>
            <w:r>
              <w:rPr>
                <w:rStyle w:val="943"/>
                <w:b w:val="0"/>
                <w:sz w:val="28"/>
                <w:szCs w:val="28"/>
              </w:rPr>
              <w:t xml:space="preserve">2.Количество посещений библиотек.</w:t>
            </w:r>
            <w:r>
              <w:rPr>
                <w:rStyle w:val="943"/>
                <w:b w:val="0"/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Style w:val="943"/>
                <w:b w:val="0"/>
                <w:sz w:val="28"/>
                <w:szCs w:val="28"/>
              </w:rPr>
            </w:pPr>
            <w:r>
              <w:rPr>
                <w:rStyle w:val="943"/>
                <w:b w:val="0"/>
                <w:sz w:val="28"/>
                <w:szCs w:val="28"/>
              </w:rPr>
              <w:t xml:space="preserve">3. Количество книговыдач.</w:t>
            </w:r>
            <w:r>
              <w:rPr>
                <w:rStyle w:val="943"/>
                <w:b w:val="0"/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 Число обращений к цифровым ресурсам библиотек.</w:t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Количество посещений музея.</w:t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 Доля представленных (во всех формах) зрителю музейных предметов в общем количестве музейных предметов основного фонда.</w:t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7.Количество посещений культурно – массовых мероприятий в культурно – досуговых учреждениях.</w:t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Количество посещений культурно – досуговых учреждений на платной основе.</w:t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Style w:val="943"/>
                <w:b w:val="0"/>
                <w:sz w:val="28"/>
                <w:szCs w:val="28"/>
              </w:rPr>
            </w:pPr>
            <w:r>
              <w:rPr>
                <w:rStyle w:val="943"/>
                <w:b w:val="0"/>
                <w:sz w:val="28"/>
                <w:szCs w:val="28"/>
              </w:rPr>
              <w:t xml:space="preserve">9. Число участников клубных формирований.</w:t>
            </w:r>
            <w:r>
              <w:rPr>
                <w:rStyle w:val="943"/>
                <w:b w:val="0"/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Style w:val="943"/>
                <w:b w:val="0"/>
                <w:sz w:val="28"/>
                <w:szCs w:val="28"/>
              </w:rPr>
            </w:pPr>
            <w:r>
              <w:rPr>
                <w:rStyle w:val="943"/>
                <w:b w:val="0"/>
                <w:sz w:val="28"/>
                <w:szCs w:val="28"/>
              </w:rPr>
              <w:t xml:space="preserve">10. Обеспеченность населения местами в учреждениях культуры на 1000 жителей.</w:t>
            </w:r>
            <w:r>
              <w:rPr>
                <w:rStyle w:val="943"/>
                <w:b w:val="0"/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Style w:val="943"/>
                <w:b w:val="0"/>
                <w:sz w:val="28"/>
                <w:szCs w:val="28"/>
              </w:rPr>
            </w:pPr>
            <w:r>
              <w:rPr>
                <w:rStyle w:val="943"/>
                <w:b w:val="0"/>
                <w:sz w:val="28"/>
                <w:szCs w:val="28"/>
              </w:rPr>
              <w:t xml:space="preserve">11. Число обучающихся в детских школах искусств.</w:t>
            </w:r>
            <w:r>
              <w:rPr>
                <w:rStyle w:val="943"/>
                <w:b w:val="0"/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Style w:val="943"/>
                <w:b w:val="0"/>
                <w:sz w:val="28"/>
                <w:szCs w:val="28"/>
              </w:rPr>
            </w:pPr>
            <w:r>
              <w:rPr>
                <w:rStyle w:val="943"/>
                <w:b w:val="0"/>
                <w:sz w:val="28"/>
                <w:szCs w:val="28"/>
              </w:rPr>
              <w:t xml:space="preserve">12. Доля обучающихся по дополнительным предпрофессиональным общеобразовательным программам в области искусства в детских школах искусств в общем количестве учащихся.</w:t>
            </w:r>
            <w:r>
              <w:rPr>
                <w:rStyle w:val="943"/>
                <w:b w:val="0"/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 Доля лауреатов, дипломантов региональных, всероссийских и международных конкурсов от общего количества учащихся.</w:t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 Количество посещений культурных мероприятий, проводимых детскими школами искусств.</w:t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 Число волонтеров культуры.</w:t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 Количество посещений учреждений культуры (на 1 жителя в год).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40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и этапы реализации Программы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6179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2021-2025 годы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40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финансирования Программы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6179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934209,9</w:t>
            </w:r>
            <w:r>
              <w:rPr>
                <w:color w:val="59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тыс.рублей, из бюджета городского округа, в том числе по годам:</w:t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-2021 год – 136845,2 тыс.рублей;</w:t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-2022 год – 150557,0 тыс.рублей;</w:t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-2023 год – 196691,8 тыс.рублей:</w:t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 средства бюджета городского округа 186847,8 тыс.рублей; федеральный бюджет 9350,0 тыс.рублей; краевой бюджет 494,0 тыс.рублей;</w:t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- 2024 год –</w:t>
            </w:r>
            <w:bookmarkStart w:id="8" w:name="_GoBack"/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226335,3 тыс.рублей: в том числе средства бюджета городского  округа 221720,8</w:t>
            </w:r>
            <w:bookmarkEnd w:id="8"/>
            <w:r>
              <w:rPr>
                <w:color w:val="59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тыс.рублей; федеральный бюджет 4568,4 тыс.рублей; краевой бюджет 46,1тыс.рублей;</w:t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- 2025 год –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223780,6 </w:t>
            </w:r>
            <w:r>
              <w:rPr>
                <w:sz w:val="28"/>
                <w:szCs w:val="28"/>
              </w:rPr>
              <w:t xml:space="preserve">тыс.рублей.</w:t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финансирования подлежат ежегодному уточнению в соответствии с законами о федеральном и краевом бюджетах на очередной финансовый год и на плановый период.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6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40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результаты реализации Программы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6179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rStyle w:val="943"/>
                <w:b w:val="0"/>
                <w:sz w:val="28"/>
                <w:szCs w:val="28"/>
              </w:rPr>
            </w:pPr>
            <w:r>
              <w:rPr>
                <w:rStyle w:val="943"/>
                <w:b w:val="0"/>
                <w:sz w:val="28"/>
                <w:szCs w:val="28"/>
              </w:rPr>
              <w:t xml:space="preserve">1. Сохранение доли объектов культурного наследия, находящихся в удовлетворительном состоянии, в общем количестве объектов культурного наследия регионального значения на территории города до 100%.</w:t>
            </w:r>
            <w:r>
              <w:rPr>
                <w:rStyle w:val="943"/>
                <w:b w:val="0"/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Style w:val="943"/>
                <w:b w:val="0"/>
                <w:sz w:val="28"/>
                <w:szCs w:val="28"/>
              </w:rPr>
            </w:pPr>
            <w:r>
              <w:rPr>
                <w:rStyle w:val="943"/>
                <w:b w:val="0"/>
                <w:sz w:val="28"/>
                <w:szCs w:val="28"/>
              </w:rPr>
              <w:t xml:space="preserve">2. Увеличение количества посещений библиотек до 530,8 тыс. единиц.</w:t>
            </w:r>
            <w:r>
              <w:rPr>
                <w:rStyle w:val="943"/>
                <w:b w:val="0"/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Style w:val="943"/>
                <w:b w:val="0"/>
                <w:sz w:val="28"/>
                <w:szCs w:val="28"/>
              </w:rPr>
            </w:pPr>
            <w:r>
              <w:rPr>
                <w:rStyle w:val="943"/>
                <w:b w:val="0"/>
                <w:sz w:val="28"/>
                <w:szCs w:val="28"/>
              </w:rPr>
              <w:t xml:space="preserve">3. Увеличение количества книговыдач до 862,5 тыс. экземпляров.</w:t>
            </w:r>
            <w:r>
              <w:rPr>
                <w:rStyle w:val="943"/>
                <w:b w:val="0"/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 Рост числа обращений к цифровым ресурсам библиотек до 75,5 тыс. обращений.</w:t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 Увеличение количества посещений музея до 13,0 тыс. посещений.</w:t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 Увеличение доли представленных (во всех формах) зрителю музейных предметов в общем количестве музейных предметов основного фонда до 43%.</w:t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 Увеличение количества посещений культурно-массовых мероприятий в культурно – досуговых учреждениях до 347,47 тыс. единиц.</w:t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</w:t>
            </w:r>
            <w:r>
              <w:t xml:space="preserve"> </w:t>
            </w:r>
            <w:r>
              <w:rPr>
                <w:sz w:val="28"/>
                <w:szCs w:val="28"/>
              </w:rPr>
              <w:t xml:space="preserve">Увеличение количества посещений культурно-досуговых учреждений на платной основе до 67,93 тыс. единиц.</w:t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Style w:val="943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 Р</w:t>
            </w:r>
            <w:r>
              <w:rPr>
                <w:rStyle w:val="943"/>
                <w:b w:val="0"/>
                <w:sz w:val="28"/>
                <w:szCs w:val="28"/>
              </w:rPr>
              <w:t xml:space="preserve">ост числа участников клубных формирований до 1460 человек.</w:t>
            </w:r>
            <w:r>
              <w:rPr>
                <w:rStyle w:val="943"/>
                <w:b w:val="0"/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Style w:val="943"/>
                <w:b w:val="0"/>
                <w:sz w:val="28"/>
                <w:szCs w:val="28"/>
              </w:rPr>
            </w:pPr>
            <w:r>
              <w:rPr>
                <w:rStyle w:val="943"/>
                <w:b w:val="0"/>
                <w:sz w:val="28"/>
                <w:szCs w:val="28"/>
              </w:rPr>
              <w:t xml:space="preserve">10. Сохранение обеспеченности населения местами в учреждениях культуры на 1000 жителей до 17,5 места. </w:t>
            </w:r>
            <w:r>
              <w:rPr>
                <w:rStyle w:val="943"/>
                <w:b w:val="0"/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Style w:val="943"/>
                <w:b w:val="0"/>
                <w:sz w:val="28"/>
                <w:szCs w:val="28"/>
              </w:rPr>
            </w:pPr>
            <w:r>
              <w:rPr>
                <w:rStyle w:val="943"/>
                <w:b w:val="0"/>
                <w:sz w:val="28"/>
                <w:szCs w:val="28"/>
              </w:rPr>
              <w:t xml:space="preserve">11. Рост числа обучающихся в детских школах искусств до 1587 человек.</w:t>
            </w:r>
            <w:r>
              <w:rPr>
                <w:rStyle w:val="943"/>
                <w:b w:val="0"/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rStyle w:val="943"/>
                <w:b w:val="0"/>
                <w:sz w:val="28"/>
                <w:szCs w:val="28"/>
              </w:rPr>
            </w:pPr>
            <w:r>
              <w:rPr>
                <w:rStyle w:val="943"/>
                <w:b w:val="0"/>
                <w:sz w:val="28"/>
                <w:szCs w:val="28"/>
              </w:rPr>
              <w:t xml:space="preserve">12. Увеличение доли обучающихся по дополнительным предпрофессиональным общеобразовательным программам в области искусства в детских школах искусств в общем количестве учащихся до 80%.</w:t>
            </w:r>
            <w:r>
              <w:rPr>
                <w:rStyle w:val="943"/>
                <w:b w:val="0"/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 Увеличение доли лауреатов, дипломантов региональных, всероссийских и международных конкурсов от общего количества учащихся до 67%.</w:t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 Увеличение числа посещений культурных мероприятий, проводимых детскими школами искусств до 14,613 тыс.единиц.</w:t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 Рост числа волонтеров культуры до 15 человек.</w:t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 Увеличение количества посещений учреждений культуры (на 1 жителя в год) до 7,38 единиц.</w:t>
            </w:r>
            <w:r>
              <w:rPr>
                <w:sz w:val="28"/>
                <w:szCs w:val="28"/>
              </w:rPr>
            </w:r>
          </w:p>
        </w:tc>
      </w:tr>
    </w:tbl>
    <w:p>
      <w:pPr>
        <w:widowControl w:val="false"/>
        <w:pBdr/>
        <w:spacing/>
        <w:ind/>
        <w:rPr>
          <w:sz w:val="28"/>
          <w:szCs w:val="28"/>
        </w:rPr>
      </w:pPr>
      <w:r/>
      <w:bookmarkStart w:id="0" w:name="Par249"/>
      <w:r/>
      <w:bookmarkEnd w:id="0"/>
      <w:r/>
      <w:bookmarkStart w:id="1" w:name="Par247"/>
      <w:r/>
      <w:bookmarkEnd w:id="1"/>
      <w:r/>
      <w:r>
        <w:rPr>
          <w:sz w:val="28"/>
          <w:szCs w:val="28"/>
        </w:rPr>
      </w:r>
    </w:p>
    <w:p>
      <w:pPr>
        <w:pStyle w:val="937"/>
        <w:widowControl w:val="false"/>
        <w:numPr>
          <w:ilvl w:val="0"/>
          <w:numId w:val="1"/>
        </w:num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Общая характеристика сферы реализации муниципальной программы</w:t>
      </w:r>
      <w:r>
        <w:rPr>
          <w:sz w:val="28"/>
          <w:szCs w:val="28"/>
        </w:rPr>
      </w:r>
    </w:p>
    <w:p>
      <w:pPr>
        <w:widowControl w:val="false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</w:t>
      </w:r>
      <w:r>
        <w:rPr>
          <w:sz w:val="28"/>
          <w:szCs w:val="28"/>
        </w:rPr>
        <w:t xml:space="preserve">а города Новоалтайска включает в себя развитую сеть учреждений культуры - музей, библиотеки, учреждения культурно – досугового типа, детские школы искусств. Деятельность учреждений культуры является одной из важнейших составляющих культурной жизни общества</w:t>
      </w:r>
      <w:r>
        <w:rPr>
          <w:sz w:val="28"/>
          <w:szCs w:val="28"/>
        </w:rPr>
        <w:t xml:space="preserve">, они способствуют формированию нравственно – эстетических основ, духовных потребностей и ценностных ориентиров, выполняют образовательные, воспитательные, культурно – досуговые функции, а также являются одной из основ информационного обеспечения общества.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Благодаря плановой и многолетней работе с использованием программного метода значительно улучшилась материально-техническая база учреждений культуры, развиваются творческие коллективы города, улучшается качество оказываемых услуг в сфере культуры.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средств городского бюджета, учреждения культуры и дополнительного образования активно привлекают на конкурсной основе средства краевых и российских грантодателей.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Библиотечная система горо</w:t>
      </w:r>
      <w:r>
        <w:rPr>
          <w:sz w:val="28"/>
          <w:szCs w:val="28"/>
        </w:rPr>
        <w:t xml:space="preserve">да в период с 2016 по 2024гг. становилась победителем городского конкурса грантов «Молодежная инициатива», фонда Михаила Прохорова, Международного открытого грантового конкурса «Православная инициатива», гранта Губернатора Алтайского края в сфере культуры.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Так, например, в 2022 году Центральная городская модельная библиотека (далее по тексту – ЦГМБ) оказалась в числе победителей конкурса по отбору проектов на получение гранта Губернатора Алтайского края в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сфере культуры. Реализация проекта «Точка концентрации талантов «Гений места» позволила привлечь 268,0 т.р. на укрепление материально-технической базы и приобрести оборудование для фото- видео съемки с целью создания электронных коллекций видеоматериалов п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о теме проекта. По итогам реализации проекта ЦГМБ поощрена благодарностью Министерства культуры РФ за активную проектную деятельность и особые успехи в работе с аудиторией в области креативных индустрий, в том числе за организацию и проведение мероприятий.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r>
    </w:p>
    <w:p>
      <w:pPr>
        <w:pBdr/>
        <w:spacing/>
        <w:ind w:firstLine="709"/>
        <w:jc w:val="both"/>
        <w:outlineLvl w:val="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Победа в конкурсе грантов Губернатора Алтайского края в сфере культуры 2024 года позволила Центральной модельной детской библиотеке (далее по тексту – ЦМДБ) реализовать проект «Фестиваль семейных традиций ЛУЧ: Любим. Учимся. Читаем» (190,0 т.р.).   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</w:p>
    <w:p>
      <w:pPr>
        <w:pBdr/>
        <w:shd w:val="clear" w:color="auto" w:fill="ffffff"/>
        <w:spacing/>
        <w:ind w:firstLine="709"/>
        <w:jc w:val="both"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 xml:space="preserve">Детская школа искусств № 3 в 2018 году выиграла грант Губернатора Алтайского края в сфере культуры с проектом</w:t>
      </w:r>
      <w:r>
        <w:rPr>
          <w:rFonts w:eastAsia="MS Mincho"/>
          <w:sz w:val="28"/>
          <w:szCs w:val="28"/>
          <w:lang w:eastAsia="ar-SA"/>
        </w:rPr>
        <w:t xml:space="preserve"> «Создание ансамбля народных инструментов «Белый яр». На выделенные в рамках гранта, а также собственные средства были приобретены музыкальные инструменты: две малых домры, две балалайки, альтовая домра, тарелки, треугольник, бубен, подставки для барабана.</w:t>
      </w:r>
      <w:r>
        <w:rPr>
          <w:rFonts w:eastAsia="MS Mincho"/>
          <w:sz w:val="28"/>
          <w:szCs w:val="28"/>
          <w:lang w:eastAsia="ar-SA"/>
        </w:rPr>
      </w:r>
    </w:p>
    <w:p>
      <w:pPr>
        <w:pBdr/>
        <w:shd w:val="clear" w:color="auto" w:fill="ffffff"/>
        <w:spacing/>
        <w:ind w:firstLine="709"/>
        <w:jc w:val="both"/>
        <w:rPr>
          <w:color w:val="ff0000"/>
          <w:sz w:val="27"/>
          <w:szCs w:val="27"/>
        </w:rPr>
      </w:pPr>
      <w:r>
        <w:rPr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 xml:space="preserve">В 2021 году Детская школа искусств  № 2 выиграла Губернаторский грант в сфере культуры в размере 100,0 т.р. </w:t>
      </w:r>
      <w:r>
        <w:rPr>
          <w:color w:val="000000"/>
          <w:sz w:val="27"/>
          <w:szCs w:val="27"/>
        </w:rPr>
        <w:t xml:space="preserve">на создание творческого </w:t>
      </w:r>
      <w:r>
        <w:rPr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 xml:space="preserve">объединения по декоративно-прикладному творчеству «Посиделки-куклы-АРТ».  А Центральная модельная детская библиотека стала победителем Президентского фонда культурных инициатив с проектом «</w:t>
      </w:r>
      <w:r>
        <w:rPr>
          <w:color w:val="000000" w:themeColor="text1"/>
          <w:sz w:val="27"/>
          <w:szCs w:val="27"/>
          <w:lang w:val="en-US"/>
          <w14:textFill>
            <w14:solidFill>
              <w14:schemeClr w14:val="tx1"/>
            </w14:solidFill>
          </w14:textFill>
        </w:rPr>
        <w:t xml:space="preserve">Smart</w:t>
      </w:r>
      <w:r>
        <w:rPr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 xml:space="preserve">-студия «Развивайся – играй. Твори – изобретай», размер гранта составил – 383,8 т.р.</w:t>
      </w:r>
      <w:r>
        <w:rPr>
          <w:color w:val="ff0000"/>
          <w:sz w:val="27"/>
          <w:szCs w:val="27"/>
        </w:rPr>
      </w:r>
    </w:p>
    <w:p>
      <w:pPr>
        <w:pBdr/>
        <w:spacing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За период действия национального проект «Культу</w:t>
      </w:r>
      <w:r>
        <w:rPr>
          <w:color w:val="000000"/>
          <w:sz w:val="28"/>
          <w:szCs w:val="28"/>
          <w:shd w:val="clear" w:color="auto" w:fill="ffffff"/>
        </w:rPr>
        <w:t xml:space="preserve">ра» с 2019 по 2024 годы на модернизацию, переоснащение, укрепление материально-технической базы учреждений культуры города, приобретение музыкальных инструментов для детских школ искусств удалось привлечь из федерального бюджета страны свыше 25 млн.рублей.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Bdr/>
        <w:spacing/>
        <w:ind w:firstLine="709"/>
        <w:jc w:val="both"/>
        <w:rPr>
          <w:rStyle w:val="750"/>
          <w:b w:val="0"/>
          <w:sz w:val="28"/>
          <w:szCs w:val="28"/>
        </w:rPr>
      </w:pPr>
      <w:r>
        <w:rPr>
          <w:rStyle w:val="750"/>
          <w:b w:val="0"/>
          <w:sz w:val="28"/>
          <w:szCs w:val="28"/>
        </w:rPr>
        <w:t xml:space="preserve">В 201</w:t>
      </w:r>
      <w:r>
        <w:rPr>
          <w:rStyle w:val="750"/>
          <w:b w:val="0"/>
          <w:sz w:val="28"/>
          <w:szCs w:val="28"/>
        </w:rPr>
        <w:t xml:space="preserve">9 году Центральная городская библиотека имени Л.С. Мерзликина победила в конкурсе по созданию модельных библиотек в рамках национального проекта «Культура» и в 2020 году получила средства в размере 10,0 млн.рублей из федерального бюджета на его реализацию.</w:t>
      </w:r>
      <w:r>
        <w:rPr>
          <w:rStyle w:val="750"/>
          <w:b w:val="0"/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модернизирована еще одна библиотека в рамках нацпроекта «Культура» - 5,0 млн.рублей выделено из федерального бюджета на библиотеку-филиал № 3, теперь модельную библиотеку-филиал «Своя территория».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На техническое переоснащение Новоалтайского краеведческого музея имени Марусина В.Я. в 2023 году из федерального бюджета израсходовано 4394,0 т.р. 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z w:val="28"/>
          <w:szCs w:val="28"/>
        </w:rPr>
        <w:t xml:space="preserve">В 2024 году на базе ЦГМБ организован концертный виртуальный зал, на эти цели направлен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1,0 млн.рублей из федерального бюджета</w:t>
      </w:r>
      <w:r>
        <w:rPr>
          <w:sz w:val="28"/>
          <w:szCs w:val="28"/>
        </w:rPr>
        <w:t xml:space="preserve">, приобретены музыкальные инструменты  -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 рояля </w:t>
      </w:r>
      <w:r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фортепианной фабрики "Михаил Глинка" (г.Санкт-Петербург)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для Детской школы искусств № 1 израсходовано 3568,4 т.р. из федерального бюджета.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национального проекта «Культура» 2 новых фортепиано «Михаил Глинка» общей стоимостью около 1,0 млн.рублей переданы в Детские школы искусств № 1 и № 2.  Детская школа искусств № 2 получила 2 скрипки на сумму около 100,0т.р. 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outlineLvl w:val="0"/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Работники культуры и педагоги школ искусств прошли обучение по программе «Творческие люди» национального проекта «Культура».</w:t>
      </w:r>
      <w:r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r>
    </w:p>
    <w:p>
      <w:pPr>
        <w:pBdr/>
        <w:spacing/>
        <w:ind w:firstLine="709"/>
        <w:jc w:val="both"/>
        <w:outlineLvl w:val="0"/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Укрепление материально-технической базы учреждений культуры и дополнительного образования осуществляется и за счет средств городского бюджета.</w:t>
      </w:r>
      <w:r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r>
    </w:p>
    <w:p>
      <w:pPr>
        <w:pBdr/>
        <w:spacing/>
        <w:ind w:firstLine="709"/>
        <w:contextualSpacing w:val="true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 2024 году произведено обустройство пандуса (321,2 т.р.) и устройство снегозадержания на крыше (245,1 т.р.) Детской школы искусств № 1.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</w:p>
    <w:p>
      <w:pPr>
        <w:pBdr/>
        <w:spacing/>
        <w:ind w:firstLine="709"/>
        <w:contextualSpacing w:val="true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Провед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ен частичный ремонт кровли КДЦ «Космос» (283,0 т.р.), ГЦК «Современник» (182,8 т.р.), текущий ремонт отмостки, стен, кабинетов ГЦК «Современник» (192,1 т.р.), замена окон и ремонт труб холодного водоснабжения в Доме культуры Железнодорожников (313,8 т.р.).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</w:p>
    <w:p>
      <w:pPr>
        <w:pBdr/>
        <w:spacing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рамках краевой адресной инвестиционной программы завершено строительство Культурно-с</w:t>
      </w:r>
      <w:r>
        <w:rPr>
          <w:sz w:val="28"/>
          <w:szCs w:val="28"/>
        </w:rPr>
        <w:t xml:space="preserve">портивного комплекса в Белоярском районе (2019-2022гг.), объект введен в эксплуатацию в качестве структурного подразделения МБУК «Городской центр культуры «Современник», в связи с чем, увеличилось количество творческих коллективов и проводимых мероприятий.</w:t>
      </w:r>
      <w:r>
        <w:rPr>
          <w:b/>
          <w:sz w:val="28"/>
          <w:szCs w:val="28"/>
        </w:rPr>
      </w:r>
    </w:p>
    <w:p>
      <w:pPr>
        <w:pStyle w:val="770"/>
        <w:pBdr/>
        <w:shd w:val="clear" w:color="auto" w:fill="ffffff"/>
        <w:spacing w:after="0" w:afterAutospacing="0" w:before="0" w:beforeAutospacing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 состоянию на 01.01.2025 года на базе культурно – досуговых учреждений города работают 54 клубных формирования, в которых занимаются 1376 человек. Всего в городе культурно-досуговыми учреждениями за 2024 год   проведено 932 культурно-массовых мероприятия.</w:t>
      </w:r>
      <w:r>
        <w:rPr>
          <w:sz w:val="28"/>
          <w:szCs w:val="28"/>
        </w:rPr>
      </w:r>
    </w:p>
    <w:p>
      <w:pPr>
        <w:pStyle w:val="770"/>
        <w:pBdr/>
        <w:shd w:val="clear" w:color="auto" w:fill="ffffff"/>
        <w:spacing w:after="0" w:afterAutospacing="0"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сфера культуры города насчитывает 28 коллективов, имеющих звание «образцовый» («народный») коллектив и 5 из них удостоены звания Заслуженный коллектив самодеятельного художественного творчества Алтайского края.</w:t>
      </w:r>
      <w:r>
        <w:rPr>
          <w:sz w:val="28"/>
          <w:szCs w:val="28"/>
        </w:rPr>
      </w:r>
    </w:p>
    <w:p>
      <w:pPr>
        <w:pStyle w:val="770"/>
        <w:pBdr/>
        <w:shd w:val="clear" w:color="auto" w:fill="ffffff"/>
        <w:spacing w:after="0" w:afterAutospacing="0" w:before="0" w:before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sz w:val="28"/>
          <w:szCs w:val="28"/>
        </w:rPr>
        <w:t xml:space="preserve">За последние пять лет</w:t>
      </w:r>
      <w:r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звание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«образцовый самодеятельный  коллектив Алтайского края» получили </w:t>
      </w:r>
      <w:r>
        <w:rPr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 xml:space="preserve">студия современного танца «Свой выбор», </w:t>
      </w:r>
      <w:r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театр-студия «Аз-Арт» </w:t>
      </w:r>
      <w:r>
        <w:rPr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 xml:space="preserve"> МБУК «КДЦ», хореографический коллектив эстрадного и современного танца «Драйв»,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ансамбль народного танца «Русская душа»</w:t>
      </w:r>
      <w:r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и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«Калина красная»  МБУК «ГЦК», </w:t>
      </w:r>
      <w:r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вокальный ансамбль «Менестрель» Детской школы искусств № 3,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театр-студия «Конфета» Детской школы искусств № 1.</w:t>
      </w:r>
      <w:r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r>
    </w:p>
    <w:p>
      <w:pPr>
        <w:pBdr/>
        <w:spacing/>
        <w:ind w:firstLine="709"/>
        <w:contextualSpacing w:val="true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 этот же период звание Заслуженный коллектив самодеятельного художественного творчества Алтайского края получил </w:t>
      </w:r>
      <w:r>
        <w:rPr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 xml:space="preserve">образцовый ансамбль народного танца «Коробейники» МБУК «КДЦ»,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народный коллектив ансамбль песни «Ярославна» Городского центра культуры «Современник».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</w:p>
    <w:p>
      <w:pPr>
        <w:pStyle w:val="952"/>
        <w:pBdr/>
        <w:spacing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В 2022 году </w:t>
      </w:r>
      <w:r>
        <w:rPr>
          <w:rFonts w:ascii="Times New Roman" w:hAnsi="Times New Roman" w:cs="Times New Roman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 xml:space="preserve">по итогам краевого конкурса «Признание» памятным знак</w:t>
      </w:r>
      <w:r>
        <w:rPr>
          <w:rFonts w:ascii="Times New Roman" w:hAnsi="Times New Roman" w:cs="Times New Roman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 xml:space="preserve">ом отмечены Культурно-досуговый центр «Космос» как лучшее культурно-досуговое учреждение городского типа, лучшими коллективами самодеятельного народного творчества признаны народный ансамбль песни «Ярославна» ГЦК «Современник», Заслуженный коллектив Алтайс</w:t>
      </w:r>
      <w:r>
        <w:rPr>
          <w:rFonts w:ascii="Times New Roman" w:hAnsi="Times New Roman" w:cs="Times New Roman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 xml:space="preserve">кого края ансамбль русской песни «Белоросы» КДЦ «Космос». Руководители данных коллективов Карпова З.А. и Денисов В.И. отмечены как лучшие руководители, названы лучшими четверо солистов – А.Холодков, А.Кадулин, Н.Самошина (МБУК «КДЦ»), Т.Ежова (МБУК «ГЦК»).</w:t>
      </w:r>
      <w:r>
        <w:rPr>
          <w:rFonts w:ascii="Times New Roman" w:hAnsi="Times New Roman" w:cs="Times New Roman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</w:r>
    </w:p>
    <w:p>
      <w:pPr>
        <w:pStyle w:val="952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городе, напротяжении последних 20 лет проводятся ежегодные открытые конкурсы вокального, хореографического, театрального искусства.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0"/>
        <w:pBdr/>
        <w:shd w:val="clear" w:color="auto" w:fill="ffffff"/>
        <w:spacing w:after="0" w:afterAutospacing="0"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творческие коллективы и солисты принимают активное участие в краевых, всероссийских и международных конкурсах.</w:t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Так, например, в 2024 году творческая делегация Новоалтайска в составе</w:t>
      </w:r>
      <w:r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около 200 человек достойно представила город на очередных краевых Дельфийских играх в Тальменском районе. </w:t>
      </w:r>
      <w:r>
        <w:rPr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 xml:space="preserve">Творческие состязания проводились в 13 номинациях, в 7 номинациях наши коллективы и солисты привезли награды: </w:t>
      </w:r>
      <w:r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4 вторых места, 2 третьих места и 3 специальных диплома.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</w:p>
    <w:p>
      <w:pPr>
        <w:pStyle w:val="952"/>
        <w:pBdr/>
        <w:spacing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Образцовый самодеятельный коллектив Алтайского края фольклорный ансамбль «Радуница» КДЦ «Космос» представил наш регион на II Всероссийской детской Фольклориаде, которая проводилась с 19 по 23 июня 2024 года в г. Казани.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r>
    </w:p>
    <w:p>
      <w:pPr>
        <w:pBdr/>
        <w:spacing/>
        <w:ind w:firstLine="709"/>
        <w:jc w:val="both"/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На малой сцене Алтайского краевого театра драмы самодеятельные артисты народного театра «Шок-О-лад» КДЦ «Космос» в октябре 2024 года показали спектакль «Охота жить» по рассказам В.Шукшина. В этом г</w:t>
      </w:r>
      <w:r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оду коллектив стал победителем Межрегионального фестиваля воплощения шукшинской прозы «Характеры» (с.Сростки) сразу в двух номинациях. В номинации "Театральная работа" у коллектива диплом Гран-при, а у Ольги Бражниковой - специальные дипломы "За лучшую реж</w:t>
      </w:r>
      <w:r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иссуру" и "За лучшую женскую роль". Этот же спектакль чуть ранее в сентябре был презентован в рамках второго театрального фестиваля по произведениям писателя Василия Шукшина "Здравствуйте, люди!" на экспериментальной сцене Алтайского краевого театра драмы.</w:t>
      </w:r>
      <w:r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r>
    </w:p>
    <w:p>
      <w:pPr>
        <w:pStyle w:val="770"/>
        <w:pBdr/>
        <w:shd w:val="clear" w:color="auto" w:fill="ffffff"/>
        <w:spacing w:after="0" w:afterAutospacing="0" w:before="0" w:beforeAutospacing="0"/>
        <w:ind w:firstLine="709"/>
        <w:jc w:val="both"/>
        <w:rPr>
          <w:rFonts w:ascii="Helvetica" w:hAnsi="Helvetica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Среди особо значи</w:t>
      </w:r>
      <w:r>
        <w:rPr>
          <w:sz w:val="28"/>
          <w:szCs w:val="28"/>
        </w:rPr>
        <w:t xml:space="preserve">мых мероприятий последних лет стоит отметить: фестиваль культурного наследия на Белоярской крепости, поездки с концертными бригадами в военный госпиталь г.Алейск, площадные мероприятия, открытие объектов после модернизации, гастроли краевого театра Драмы,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концерт «Посвящение Людмиле Зыкиной» Государственного академического русского народного ансамбля «Россия» им. Людмилы Зыкиной (г.Москва) </w:t>
      </w:r>
      <w:r>
        <w:rPr>
          <w:rStyle w:val="750"/>
          <w:b w:val="0"/>
          <w:sz w:val="28"/>
          <w:szCs w:val="28"/>
          <w:shd w:val="clear" w:color="auto" w:fill="ffffff"/>
        </w:rPr>
        <w:t xml:space="preserve">и другие мероприятия.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 </w:t>
      </w:r>
      <w:r>
        <w:rPr>
          <w:rFonts w:ascii="Helvetica" w:hAnsi="Helvetica"/>
          <w:sz w:val="28"/>
          <w:szCs w:val="28"/>
          <w:shd w:val="clear" w:color="auto" w:fill="ffffff"/>
        </w:rPr>
      </w:r>
    </w:p>
    <w:p>
      <w:pPr>
        <w:pBdr/>
        <w:spacing/>
        <w:ind w:firstLine="709"/>
        <w:jc w:val="both"/>
        <w:outlineLvl w:val="0"/>
        <w:rPr>
          <w:color w:val="000000" w:themeColor="text1"/>
          <w:sz w:val="27"/>
          <w:szCs w:val="27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7"/>
          <w:szCs w:val="27"/>
          <w:shd w:val="clear" w:color="auto" w:fill="ffffff"/>
          <w14:textFill>
            <w14:solidFill>
              <w14:schemeClr w14:val="tx1"/>
            </w14:solidFill>
          </w14:textFill>
        </w:rPr>
        <w:t xml:space="preserve">В 2022 году самым значимым событием для города стало празднование его 80-летия и 85-летие Алтайского края на центральной площади горо</w:t>
      </w:r>
      <w:r>
        <w:rPr>
          <w:color w:val="000000" w:themeColor="text1"/>
          <w:sz w:val="27"/>
          <w:szCs w:val="27"/>
          <w:shd w:val="clear" w:color="auto" w:fill="ffffff"/>
          <w14:textFill>
            <w14:solidFill>
              <w14:schemeClr w14:val="tx1"/>
            </w14:solidFill>
          </w14:textFill>
        </w:rPr>
        <w:t xml:space="preserve">да, была подготовлена яркая программа с театрализацией об истории города, шествием трудовых коллективов, участием большого количества творческих коллективов и солистов учреждений культуры и школ искусств, приглашенными артистами, ярким праздничным салютом.</w:t>
      </w:r>
      <w:r>
        <w:rPr>
          <w:color w:val="000000" w:themeColor="text1"/>
          <w:sz w:val="27"/>
          <w:szCs w:val="27"/>
          <w:shd w:val="clear" w:color="auto" w:fill="ffffff"/>
          <w14:textFill>
            <w14:solidFill>
              <w14:schemeClr w14:val="tx1"/>
            </w14:solidFill>
          </w14:textFill>
        </w:rPr>
      </w:r>
    </w:p>
    <w:p>
      <w:pPr>
        <w:pBdr/>
        <w:spacing/>
        <w:ind w:firstLine="709"/>
        <w:contextualSpacing w:val="true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 2023 году библиотеки города приняли участие в краевом фотоконкур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се «Национальные проекты в Алтайском крае: здесь и сейчас» Министерства экономического развития Алтайского края. В номинации «Раньше не было» победителем стала модельная библиотека-филиал «Своя территория», в номинации «Интересный досуг» дипломом лауреата </w:t>
      </w:r>
      <w:r>
        <w:rPr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II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степени поощрена Миронова Олеся Николаевна, сотрудник Центральной городской модельной библиотеки, в номинации «Доброе дело» лауреатом </w:t>
      </w:r>
      <w:r>
        <w:rPr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II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степени стал заведующий модельной библиотекой-филиалом «Своя территория» Суринова Ирина Александровна.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</w:p>
    <w:p>
      <w:pPr>
        <w:pBdr/>
        <w:spacing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 2023 году Новоалтайск стал победителем краевого конкурса среди муниципальных образований края на лучш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ую организацию деятельности органов местного самоуправления в сфере культуры и искусства в категории «городской округ», полученную субсидию в размере 450,0 тыс.рублей направили на укрепление материально-технической базы учреждений культуры и школ искусств.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</w:p>
    <w:p>
      <w:pPr>
        <w:pBdr/>
        <w:spacing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 2023 году все учреждения культуры и детские школы искусств прошли независимую оценку качества условий оказания услуг (НОКУ), показав высокие результаты: МБУК «ЦГБ» - 95,8 баллов, МБУК «ГЦК» - 96,2 балла, МБУ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 «НКМ имени Марусина В.Я.» - 90,3 балла, МБУК «КДЦ» - 88,5 баллов. Результаты среди школ искусств – две школы вошли в рейтинг 100 лучших образовательных организаций Алтайского края - МБУ ДО «ДШИ № 2» - 98,59 (6 место), МБУ ДО «ДШИ № 1» - 95,83 (69 место).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</w:p>
    <w:p>
      <w:pPr>
        <w:pStyle w:val="952"/>
        <w:pBdr/>
        <w:spacing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 2023 году в КДЦ «Космос» открыто первичное отде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ление Движения первых (решение заседания совета регионального отделения Общероссийского общественно-государственного движения детей и молодежи «Движение первых» № 21 от 05.07.2023), учреждение выиграло 630,0 тыс.рублей из федерального бюджета на проведение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городского форума детско-юношеских инициатив «Стартуем с Движением первых». В первых числах ноября проект был реализован на 6 образовательных площадках по направлениям Движения для 120 участников с участием 6 региональных экспертов.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r>
    </w:p>
    <w:p>
      <w:pPr>
        <w:pBdr/>
        <w:spacing/>
        <w:ind w:firstLine="709"/>
        <w:jc w:val="both"/>
        <w:outlineLvl w:val="0"/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В рамках марафона культурных событий Алтайского края «Культпоход» в сентябре 2023 года проведен фестиваль культурного наследия «И сильна Россия корнями своими» на территории Белоярской крепости благотворительного фонда «Сердолик».</w:t>
      </w:r>
      <w:r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r>
    </w:p>
    <w:p>
      <w:pPr>
        <w:pBdr/>
        <w:spacing/>
        <w:ind w:firstLine="709"/>
        <w:jc w:val="both"/>
        <w:outlineLvl w:val="0"/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В Центральной городской модельной библиотеке реализуются интереснейшие проекты и встречи с удивительными людьми. В 2023 году в ее стенах побывали экс-губернатор Алтайского края Александр Суриков, министр со</w:t>
      </w:r>
      <w:r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циальной защиты населения Алтайского края Наталья Оськина, ведущая актриса театра драмы Анна Бекчанова, культуролог Виктория Борунова, ведущая актриса театра музкомедии Виктория Гальцева, профессиональный боец ММА Мария Шутова, каллиограф Ольга Алексеенко.</w:t>
      </w:r>
      <w:r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r>
    </w:p>
    <w:p>
      <w:pPr>
        <w:pBdr/>
        <w:spacing/>
        <w:ind w:firstLine="709"/>
        <w:jc w:val="both"/>
        <w:outlineLvl w:val="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В 2024 году в Центральной городской модельной библиотеке встретились с читателями Владимир Германенко, российский политик, член Совета </w:t>
      </w:r>
      <w:r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Федерации с 2001 по 2008 годы, Иван Нифонтов, министр спорта Алтайского края, Николай Замятин, мастер по аэрографии, участник Международного конкурса талантов в Лондоне, Наталья Дробышева, художник-скульптор театра кукол «Сказка» и многие другие личности.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</w:p>
    <w:p>
      <w:pPr>
        <w:pBdr/>
        <w:spacing/>
        <w:ind w:firstLine="709"/>
        <w:jc w:val="both"/>
        <w:outlineLvl w:val="0"/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Проект "Квартирник у Мерзликина" Центральной городской модельной библиотеки вошёл в сборник "Лучшие библиотечные практики России - 2022".</w:t>
      </w:r>
      <w:r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r>
    </w:p>
    <w:p>
      <w:pPr>
        <w:pBdr/>
        <w:spacing/>
        <w:ind w:firstLine="709"/>
        <w:jc w:val="both"/>
        <w:outlineLvl w:val="0"/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В рамках Всероссийского фестиваля «Шукшинские дни на Алтае» библиотека в 2023 году принимала на своей площадке поэта и писателя из Санкт-Петербурга Михаила Левантовского, а в 2024 - поэта и писателя из Архангельска Владислава Попова.</w:t>
      </w:r>
      <w:r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r>
    </w:p>
    <w:p>
      <w:pPr>
        <w:pBdr/>
        <w:spacing/>
        <w:ind w:firstLine="709"/>
        <w:jc w:val="both"/>
        <w:outlineLvl w:val="0"/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В рамках литературного фестиваля Роберта Рождественского Центральная городская модельная библиотека в 2024 году провела творческую встречу с поэтом из Москвы Михаилом Иверовым.</w:t>
      </w:r>
      <w:r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r>
    </w:p>
    <w:p>
      <w:pPr>
        <w:pBdr/>
        <w:spacing/>
        <w:ind w:firstLine="709"/>
        <w:jc w:val="both"/>
        <w:outlineLvl w:val="0"/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Ежегодно на базе библиотеки проходят Всесибирские Мерзликинские литературные чтения с присуждением премии имени поэта один раз в два года.</w:t>
      </w:r>
      <w:r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r>
    </w:p>
    <w:p>
      <w:pPr>
        <w:pStyle w:val="952"/>
        <w:pBdr/>
        <w:spacing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Интересным событием 2024 года стало создание мюзикла «Бременские музыканты», </w:t>
      </w:r>
      <w:r>
        <w:rPr>
          <w:rStyle w:val="962"/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автор сценария, постановщик, исполнитель роли короля и всех главных музыкальных партий мюзикла – Александр Лопатюк,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руководитель народного театра им. А.И. Куинджи Городского центра культуры «Современник». Мюзикл имел успех у зрителя, показ освещался в средствах массовой информации, а также на Катунь-24.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</w:p>
    <w:p>
      <w:pPr>
        <w:pStyle w:val="952"/>
        <w:pBdr/>
        <w:spacing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 2024 году Городской центр культуры «Современник» отметил свой 70-летний юбилей праздничным концертом творческих коллективов учреждения.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</w:p>
    <w:p>
      <w:pPr>
        <w:pBdr/>
        <w:spacing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 целях организации предоставления услуги дополнительного образования в трёх ДШИ на 01.01.2025г. обучается 1384 человека. Все детские школы искусств работа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ют по предпрофессиональным программам: на 01.01.2024 процент обучающихся по ДПОП составлял 74,4%, на 01.01.2025 – 75,2%. Данный вопрос находится на контроле, ведется работа по увеличению данного процентного соотношения, положительная динамика наблюдается.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</w:p>
    <w:p>
      <w:pPr>
        <w:pBdr/>
        <w:spacing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 2024 году Детская школа искус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ств № 1 стала участником окружного этапа общероссийского конкурса «Лучшая детская школа искусств», получен диплом. Две ученицы Детской школы искусств № 1 Борисова София и Гаськова Ксения прошли конкурсный отбор и за счет краевых средств приняли участие во </w:t>
      </w:r>
      <w:r>
        <w:rPr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II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Международном детском культурном форуме, который прошел в августе в г.Москва.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</w:p>
    <w:p>
      <w:pPr>
        <w:pBdr/>
        <w:spacing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Дипломами лауреатов 1 степени отмечены два педагога Детской школы искусств № 2 по результатам регионального конкурса «Лучший урок» - Меркулова О.М., Гюнтер Е.В.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</w:p>
    <w:p>
      <w:pPr>
        <w:pBdr/>
        <w:spacing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Детская школа искусств № 3 отметила праздничным концертом свой 30-летний юбилей, директор школы Вагина Л.В. в связи с юбилеем школы и личным юбилеем награждена Почетной грамотой Правительства Алтайского края.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</w:p>
    <w:p>
      <w:pPr>
        <w:pBdr/>
        <w:spacing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31 творческий коллектив, созданный на базе учебных заведений, ведут активн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ую концертную деятельность. 27 выпускников школ искусств в 2024 году поступили в профильные средние и высшие учебные заведения (НГХУ, АлтГМК, колледж при АГУ, АГИК, Новосибирский архитектурно-строительный колледж, Новосибирский музыкальный колледж и др.).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</w:p>
    <w:p>
      <w:pPr>
        <w:pStyle w:val="952"/>
        <w:pBdr/>
        <w:spacing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Работники культуры ежегодно принимают участие в Губернаторском конкурсе профессионального мастерства «Лучший работник культуры». За период с 2016 по 2023гг. победителями стали 11 человек. Так, например,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 2022 году стали победителями в номинации «Лучший библиотечный работник» - Войцеховская Н.В., заведующий отделом культурных программ ЦГМБ, в номинации «Лучший педагог» - Ходарина М.А., преподаватель ДШИ № 1.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</w:p>
    <w:p>
      <w:pPr>
        <w:pStyle w:val="952"/>
        <w:pBdr/>
        <w:spacing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 2023 году двое работников отрасли стали победителями Губернаторского ко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нкурса профессионального мастерства на звание «Лучший работник культуры года»: в номинации «Лучший библиотечный работник» - Миронова О.Н., сотрудник отдела культурных программ ЦГМБ, в номинации «Лучший клубный работник» - Борисов А.Д., директор МБУК «ГЦК».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</w:p>
    <w:p>
      <w:pPr>
        <w:pBdr/>
        <w:spacing/>
        <w:ind w:firstLine="709"/>
        <w:jc w:val="both"/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Ольга Бражникова,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заведующий сектором МБУК «КДЦ», руководитель народного театрального коллектива «Шок-О-Лад», стала победителем Губернаторского конкурса профессионального мастерства на звание «Лучший работник культуры года» в номинации «Лучший клубный работник» в 2024 году.</w:t>
      </w:r>
      <w:r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r>
    </w:p>
    <w:p>
      <w:pPr>
        <w:pBdr/>
        <w:spacing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Style w:val="750"/>
          <w:b w:val="0"/>
          <w:sz w:val="28"/>
          <w:szCs w:val="28"/>
          <w:shd w:val="clear" w:color="auto" w:fill="ffffff"/>
        </w:rPr>
        <w:t xml:space="preserve">В 2020 году Валерий Иванович Денисов </w:t>
      </w:r>
      <w:r>
        <w:rPr>
          <w:sz w:val="28"/>
          <w:szCs w:val="28"/>
          <w:shd w:val="clear" w:color="auto" w:fill="ffffff"/>
        </w:rPr>
        <w:t xml:space="preserve">руководитель ансамблей русской песни «Белоросы», народных инструментов «Русские узоры» и хора русской песни «Сударушки» МБУК «КДЦ «Космос» удостоен государственной награды - медали ордена «За заслуги перед Отечеством» II степени. </w:t>
      </w:r>
      <w:r>
        <w:rPr>
          <w:sz w:val="28"/>
          <w:szCs w:val="28"/>
          <w:shd w:val="clear" w:color="auto" w:fill="ffffff"/>
        </w:rPr>
      </w:r>
    </w:p>
    <w:p>
      <w:pPr>
        <w:pBdr/>
        <w:spacing/>
        <w:ind w:firstLine="709"/>
        <w:jc w:val="both"/>
        <w:outlineLvl w:val="0"/>
        <w:rPr>
          <w:color w:val="000000" w:themeColor="text1"/>
          <w:sz w:val="27"/>
          <w:szCs w:val="27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7"/>
          <w:szCs w:val="27"/>
          <w:shd w:val="clear" w:color="auto" w:fill="ffffff"/>
          <w14:textFill>
            <w14:solidFill>
              <w14:schemeClr w14:val="tx1"/>
            </w14:solidFill>
          </w14:textFill>
        </w:rPr>
        <w:t xml:space="preserve">В 2021 году работники культуры Новоалтайска, внесшие весомый вклад в развитие отрасли, получили достойные награды в связи с юбилейными датами. Карпов В.Д., хормейстер З</w:t>
      </w:r>
      <w:r>
        <w:rPr>
          <w:color w:val="000000" w:themeColor="text1"/>
          <w:sz w:val="27"/>
          <w:szCs w:val="27"/>
          <w:shd w:val="clear" w:color="auto" w:fill="ffffff"/>
          <w14:textFill>
            <w14:solidFill>
              <w14:schemeClr w14:val="tx1"/>
            </w14:solidFill>
          </w14:textFill>
        </w:rPr>
        <w:t xml:space="preserve">аслуженного коллектива Алтайского края народного хора ветеранов МБУК «ГЦК», удостоен медали Алтайского края «За заслуги в труде», Холодков А.М., заведующий ДК Велижановский МБУК «КДЦ «Космос», награжден медалью Алтайского края «За заслуги перед обществом».</w:t>
      </w:r>
      <w:r>
        <w:rPr>
          <w:color w:val="000000" w:themeColor="text1"/>
          <w:sz w:val="27"/>
          <w:szCs w:val="27"/>
          <w:shd w:val="clear" w:color="auto" w:fill="ffffff"/>
          <w14:textFill>
            <w14:solidFill>
              <w14:schemeClr w14:val="tx1"/>
            </w14:solidFill>
          </w14:textFill>
        </w:rPr>
      </w:r>
    </w:p>
    <w:p>
      <w:pPr>
        <w:pBdr/>
        <w:spacing/>
        <w:ind w:firstLine="709"/>
        <w:jc w:val="both"/>
        <w:outlineLvl w:val="0"/>
        <w:rPr>
          <w:color w:val="000000" w:themeColor="text1"/>
          <w:sz w:val="27"/>
          <w:szCs w:val="27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7"/>
          <w:szCs w:val="27"/>
          <w:shd w:val="clear" w:color="auto" w:fill="ffffff"/>
          <w14:textFill>
            <w14:solidFill>
              <w14:schemeClr w14:val="tx1"/>
            </w14:solidFill>
          </w14:textFill>
        </w:rPr>
        <w:t xml:space="preserve">В 2022 году работники культуры Новоалтайска, внесшие весомый вклад в развитие отрасли, получили</w:t>
      </w:r>
      <w:r>
        <w:rPr>
          <w:color w:val="000000" w:themeColor="text1"/>
          <w:sz w:val="27"/>
          <w:szCs w:val="27"/>
          <w:shd w:val="clear" w:color="auto" w:fill="ffffff"/>
          <w14:textFill>
            <w14:solidFill>
              <w14:schemeClr w14:val="tx1"/>
            </w14:solidFill>
          </w14:textFill>
        </w:rPr>
        <w:t xml:space="preserve"> достойные награды в связи с юбилейными датами. Иванова Т.О., директор МБУ ДО «Детская школа искусств № 2» удостоена медали Алтайского края «За заслуги в труде». Синявская Н.Н., преподаватель МБУ ДО «Детская школа искусств № 1», Плотников А.А., аккомпаниат</w:t>
      </w:r>
      <w:r>
        <w:rPr>
          <w:color w:val="000000" w:themeColor="text1"/>
          <w:sz w:val="27"/>
          <w:szCs w:val="27"/>
          <w:shd w:val="clear" w:color="auto" w:fill="ffffff"/>
          <w14:textFill>
            <w14:solidFill>
              <w14:schemeClr w14:val="tx1"/>
            </w14:solidFill>
          </w14:textFill>
        </w:rPr>
        <w:t xml:space="preserve">ор МБУК «Городской центр культуры «Современник» награждены юбилейной медалью Алтайского края. Юбилейной Почетной грамотой Правительства Алтайского края награжден коллектив МБУК «Центральная городская библиотека имени Л.С. Мерзликина» (директор Чайка О.Л.).</w:t>
      </w:r>
      <w:r>
        <w:rPr>
          <w:color w:val="000000" w:themeColor="text1"/>
          <w:sz w:val="27"/>
          <w:szCs w:val="27"/>
          <w:shd w:val="clear" w:color="auto" w:fill="ffffff"/>
          <w14:textFill>
            <w14:solidFill>
              <w14:schemeClr w14:val="tx1"/>
            </w14:solidFill>
          </w14:textFill>
        </w:rPr>
      </w:r>
    </w:p>
    <w:p>
      <w:pPr>
        <w:pBdr/>
        <w:spacing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После технического переоснащения в рамках нацпроекта «Культура» работа музея в 2024 году вышла на качествен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но новый уровень - его посетили свыше 12 тыс.человек. На сегодняшний день музей располагает основным фондом в количестве 7368 единиц хранения, научно-вспомогательный фонд насчитывает 6881 единиц хранения. Общий фонд музея составляет 14249 единиц хранения.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</w:p>
    <w:p>
      <w:pPr>
        <w:pBdr/>
        <w:shd w:val="clear" w:color="auto" w:fill="ffffff"/>
        <w:spacing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Ежегодно проводятся традиционные мероприятия - научно-практическая конференция школьников «Я-Новоалтаец», акция «Музейная ночь».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</w:p>
    <w:p>
      <w:pPr>
        <w:pBdr/>
        <w:spacing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Впервые в 2024 году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музей присоединился к Всероссийской акции «Русское наследие»: ВКонтакте опубликован 21 информационный пост с текстами, фотографиями, видеороликами, повествующими о культурном и историческом наследии ДНР, ЛНР, Запорожской и Херсонской областей – памятники а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рхитектуры новых территорий. Также был организован очный показ одной серии из цикла документальных фильмов «Русское наследие. Возвращение домой» (о сложной судьбе памятников и исторических мест новых регионов – ДНР, ЛНР, Запорожской и Херсонской областей).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</w:p>
    <w:p>
      <w:pPr>
        <w:pBdr/>
        <w:spacing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 Новоалтайском краеведческом музее имени Марусина В.Я. ведется работа по формированию музейного фонда о новоалтайцах - участниках СВО.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</w:p>
    <w:p>
      <w:pPr>
        <w:pBdr/>
        <w:spacing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Сведения о земляках, участниках СВО, собираются также сотрудниками отдела краеведения Центральной городской модельной библиотеки, проводятся различные мероприятия по данной теме, встречи с участниками СВО.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</w:p>
    <w:p>
      <w:pPr>
        <w:pBdr/>
        <w:spacing/>
        <w:ind w:firstLine="709"/>
        <w:jc w:val="both"/>
        <w:outlineLvl w:val="0"/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Тема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специальной военной операции занимает особое место в деятельности учреждений культуры. Так, творческая бригада учреждений культуры города и детских школ искусств ежегодно, начиная с 2022 года выезжает с концертной программой в военный госпиталь г.Алейска.</w:t>
      </w:r>
      <w:r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r>
    </w:p>
    <w:p>
      <w:pPr>
        <w:pBdr/>
        <w:spacing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Все учреждения культуры участвуют в федеральном проекте «Пушкинская карта», реализуют в муниципалитете межведомственный проект «Культура для школьников», проводят мероприятия по традиционной культуре.</w:t>
      </w:r>
      <w:r>
        <w:rPr>
          <w:sz w:val="28"/>
          <w:szCs w:val="28"/>
          <w:shd w:val="clear" w:color="auto" w:fill="ffffff"/>
        </w:rPr>
      </w:r>
    </w:p>
    <w:p>
      <w:pPr>
        <w:pBdr/>
        <w:spacing/>
        <w:ind w:firstLine="709"/>
        <w:contextualSpacing w:val="true"/>
        <w:jc w:val="both"/>
        <w:rPr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sz w:val="28"/>
          <w:szCs w:val="28"/>
        </w:rPr>
        <w:t xml:space="preserve">На территории города расположены 9 объектов культурного наследия, все находятся в удовлетворительном состоянии. В 2022-2023гг. </w:t>
      </w:r>
      <w:r>
        <w:rPr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 xml:space="preserve">была разработана н</w:t>
      </w:r>
      <w:r>
        <w:rPr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 xml:space="preserve">аучно-проектная документация на ремонтные работы объектов культурного наследия регионального значения «Памятник воинам-Новоалтайцам, погибшим в годы Великой Отечественной войны (1941-1945)», «Стела «Воинам-Новоалтайцам, погибшим в годы Великой Отечественно</w:t>
      </w:r>
      <w:r>
        <w:rPr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 xml:space="preserve">й войны (1941-1945гг.)». Проведена историко-культурная экспертиза по сохранению объектов культурного наследия при проведении земляных работ, а также актуализация сметы в 2023 году, общие бюджетные затраты по программе на указанные цели составили 394,0 т.р.</w:t>
      </w:r>
      <w:r>
        <w:rPr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</w:r>
    </w:p>
    <w:p>
      <w:pPr>
        <w:pBdr/>
        <w:spacing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Остаются острыми проблемные вопросы отрасли – потребность в строительстве нового здания Детской шк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олы искусств № 1, т.к. в настоящий момент после демонтажа части здания в 2019 году половина контингента опорной школы занимается в двух других учреждениях культуры; реконструкция здания МБУК ГЦК «Современник», т.к. по результатам инструментального обследов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ания здания специалистами ООО «Алтайский экспертно-проектный центр «Спектр» в 2022 году величина физического износа строительных конструкций здания составляет 58,7 %, износа инженерных сетей – 70%, в настоящий момент состояние здания продолжает ухудшаться.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</w:p>
    <w:p>
      <w:pPr>
        <w:pBdr/>
        <w:spacing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2025 год пройдет под знаком объявленного Президентом России Года защитника Отечества и 80-летнего юбилея Победы в Великой Отечественной войне.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</w:p>
    <w:p>
      <w:pPr>
        <w:pBdr/>
        <w:spacing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Основополагающим станет также исполнение 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плана мероприятий по реализации в городе Новоалтайске в 2024-2026 годах Основ государственной политики по сохранению и укреплению традиционных российских духовно-нравственных ценностей.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</w:p>
    <w:p>
      <w:pPr>
        <w:pBdr/>
        <w:spacing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Приоритетной задачей будет являться привлечение федеральных средств на развитие отрасли культуры по национальному проекту «Семья» до 2030 года.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</w:p>
    <w:p>
      <w:pPr>
        <w:pBdr/>
        <w:spacing/>
        <w:ind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r>
    </w:p>
    <w:p>
      <w:pPr>
        <w:pStyle w:val="937"/>
        <w:widowControl w:val="false"/>
        <w:numPr>
          <w:ilvl w:val="0"/>
          <w:numId w:val="1"/>
        </w:num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Общая характеристика муниципальной программы</w:t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7"/>
        <w:widowControl w:val="false"/>
        <w:numPr>
          <w:ilvl w:val="1"/>
          <w:numId w:val="2"/>
        </w:numPr>
        <w:pBdr/>
        <w:spacing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Приоритеты муниципальной политики в сфере реализации Программы</w:t>
      </w:r>
      <w:r>
        <w:rPr>
          <w:sz w:val="28"/>
          <w:szCs w:val="28"/>
        </w:rPr>
      </w:r>
    </w:p>
    <w:p>
      <w:pPr>
        <w:pStyle w:val="937"/>
        <w:widowControl w:val="false"/>
        <w:pBdr/>
        <w:spacing/>
        <w:ind w:left="108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Приоритеты муниципальной программы в сфере культуры и искусства на период до 2025 года сформированы с учетом целей и задач, обозначенных в следующих документах:</w:t>
      </w:r>
      <w:r>
        <w:rPr>
          <w:sz w:val="28"/>
          <w:szCs w:val="28"/>
        </w:rPr>
      </w:r>
    </w:p>
    <w:p>
      <w:pPr>
        <w:pStyle w:val="760"/>
        <w:pBdr/>
        <w:shd w:val="clear" w:color="auto" w:fill="auto"/>
        <w:spacing w:after="0" w:before="0" w:line="240" w:lineRule="auto"/>
        <w:ind w:right="40" w:firstLine="700" w:left="40"/>
        <w:rPr>
          <w:sz w:val="28"/>
          <w:szCs w:val="28"/>
        </w:rPr>
      </w:pPr>
      <w:r>
        <w:rPr>
          <w:rStyle w:val="940"/>
          <w:sz w:val="28"/>
          <w:szCs w:val="28"/>
        </w:rPr>
        <w:t xml:space="preserve">- Федеральный закон от 25.06.2002 № 73-ФЗ «Об объектах культурного наследия (памятниках истории и культуры) народов Российской Федерации» (в редакции от 19.10.2023);</w:t>
      </w:r>
      <w:r>
        <w:rPr>
          <w:sz w:val="28"/>
          <w:szCs w:val="28"/>
        </w:rPr>
      </w:r>
    </w:p>
    <w:p>
      <w:pPr>
        <w:pStyle w:val="760"/>
        <w:pBdr/>
        <w:shd w:val="clear" w:color="auto" w:fill="auto"/>
        <w:spacing w:after="0" w:before="0" w:line="240" w:lineRule="auto"/>
        <w:ind w:right="40" w:firstLine="700" w:left="40"/>
        <w:rPr>
          <w:rStyle w:val="940"/>
          <w:sz w:val="28"/>
          <w:szCs w:val="28"/>
        </w:rPr>
      </w:pPr>
      <w:r>
        <w:rPr>
          <w:rStyle w:val="940"/>
          <w:sz w:val="28"/>
          <w:szCs w:val="28"/>
        </w:rPr>
        <w:t xml:space="preserve">- Федеральный закон от 29.12.2012 № 273-ФЗ «Об образовании в Российской Федерации» (в редакции от 25.12.2023);</w:t>
      </w:r>
      <w:r>
        <w:rPr>
          <w:rStyle w:val="940"/>
          <w:sz w:val="28"/>
          <w:szCs w:val="28"/>
        </w:rPr>
      </w:r>
    </w:p>
    <w:p>
      <w:pPr>
        <w:pStyle w:val="760"/>
        <w:pBdr/>
        <w:shd w:val="clear" w:color="auto" w:fill="auto"/>
        <w:spacing w:after="0" w:before="0" w:line="240" w:lineRule="auto"/>
        <w:ind w:right="40" w:firstLine="700" w:left="40"/>
        <w:rPr>
          <w:sz w:val="28"/>
          <w:szCs w:val="28"/>
          <w:shd w:val="clear" w:color="auto" w:fill="ffffff"/>
        </w:rPr>
      </w:pPr>
      <w:r>
        <w:rPr>
          <w:rStyle w:val="940"/>
          <w:sz w:val="28"/>
          <w:szCs w:val="28"/>
        </w:rPr>
        <w:t xml:space="preserve">- Федеральный закон от 01.06.2005 № 53-ФЗ «О государственном языке Российской Федерации» (в редакции от 28.02.2023);</w:t>
      </w:r>
      <w:r>
        <w:rPr>
          <w:sz w:val="28"/>
          <w:szCs w:val="28"/>
          <w:shd w:val="clear" w:color="auto" w:fill="ffffff"/>
        </w:rPr>
      </w:r>
    </w:p>
    <w:p>
      <w:pPr>
        <w:pStyle w:val="760"/>
        <w:pBdr/>
        <w:shd w:val="clear" w:color="auto" w:fill="auto"/>
        <w:spacing w:after="0" w:before="0" w:line="240" w:lineRule="auto"/>
        <w:ind w:right="40" w:firstLine="700" w:left="40"/>
        <w:rPr>
          <w:rStyle w:val="940"/>
          <w:sz w:val="28"/>
          <w:szCs w:val="28"/>
        </w:rPr>
      </w:pPr>
      <w:r>
        <w:rPr>
          <w:rStyle w:val="940"/>
          <w:sz w:val="28"/>
          <w:szCs w:val="28"/>
        </w:rPr>
        <w:t xml:space="preserve">- Указ Президента Российской Федерации от 24.12.2014 № 808                «Об утверждении Основ государственной культурной политики» (в редакции от 25.01.2023);</w:t>
      </w:r>
      <w:r>
        <w:rPr>
          <w:rStyle w:val="940"/>
          <w:sz w:val="28"/>
          <w:szCs w:val="28"/>
        </w:rPr>
      </w:r>
    </w:p>
    <w:p>
      <w:pPr>
        <w:pStyle w:val="760"/>
        <w:pBdr/>
        <w:shd w:val="clear" w:color="auto" w:fill="auto"/>
        <w:spacing w:after="0" w:before="0" w:line="240" w:lineRule="auto"/>
        <w:ind w:right="40" w:firstLine="700" w:left="40"/>
        <w:rPr>
          <w:sz w:val="28"/>
          <w:szCs w:val="28"/>
          <w:shd w:val="clear" w:color="auto" w:fill="ffffff"/>
        </w:rPr>
      </w:pPr>
      <w:r>
        <w:rPr>
          <w:rStyle w:val="940"/>
          <w:sz w:val="28"/>
          <w:szCs w:val="28"/>
        </w:rPr>
        <w:t xml:space="preserve">- Указ Президента Российской Федерации от 07.05.2018 № 204             </w:t>
      </w:r>
      <w:r>
        <w:rPr>
          <w:sz w:val="28"/>
          <w:szCs w:val="28"/>
          <w:shd w:val="clear" w:color="auto" w:fill="ffffff"/>
        </w:rPr>
        <w:t xml:space="preserve">«О национальных целях и стратегических задачах развития Российской Федерации на период до 2024 года»;</w:t>
      </w:r>
      <w:r>
        <w:rPr>
          <w:sz w:val="28"/>
          <w:szCs w:val="28"/>
          <w:shd w:val="clear" w:color="auto" w:fill="ffffff"/>
        </w:rPr>
      </w:r>
    </w:p>
    <w:p>
      <w:pPr>
        <w:pStyle w:val="760"/>
        <w:pBdr/>
        <w:shd w:val="clear" w:color="auto" w:fill="auto"/>
        <w:spacing w:after="0" w:before="0" w:line="240" w:lineRule="auto"/>
        <w:ind w:right="40" w:firstLine="700" w:left="40"/>
        <w:rPr>
          <w:rStyle w:val="94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Указ </w:t>
      </w:r>
      <w:r>
        <w:rPr>
          <w:rStyle w:val="940"/>
          <w:sz w:val="28"/>
          <w:szCs w:val="28"/>
        </w:rPr>
        <w:t xml:space="preserve">Президента Российской Федерации от 07.05.2024 № 309              «О национальных целях развития Российской Федерации на период до 2030 года и на перспективу до 2036 года»;</w:t>
      </w:r>
      <w:r>
        <w:rPr>
          <w:rStyle w:val="940"/>
          <w:sz w:val="28"/>
          <w:szCs w:val="28"/>
        </w:rPr>
      </w:r>
    </w:p>
    <w:p>
      <w:pPr>
        <w:pStyle w:val="760"/>
        <w:pBdr/>
        <w:shd w:val="clear" w:color="auto" w:fill="auto"/>
        <w:spacing w:after="0" w:before="0" w:line="240" w:lineRule="auto"/>
        <w:ind w:right="40" w:firstLine="700" w:left="40"/>
        <w:rPr>
          <w:sz w:val="28"/>
          <w:szCs w:val="28"/>
        </w:rPr>
      </w:pPr>
      <w:r>
        <w:rPr>
          <w:rStyle w:val="940"/>
          <w:sz w:val="28"/>
          <w:szCs w:val="28"/>
        </w:rPr>
        <w:t xml:space="preserve">- Указ Президента Российской Федерации от 09.11.2022 № 809           «Об утверждении Основ государственной политики по сохранению и укреплению традиционных духовно-нравственных ценностей»;</w:t>
      </w:r>
      <w:r>
        <w:rPr>
          <w:sz w:val="28"/>
          <w:szCs w:val="28"/>
        </w:rPr>
      </w:r>
    </w:p>
    <w:p>
      <w:pPr>
        <w:pStyle w:val="760"/>
        <w:pBdr/>
        <w:shd w:val="clear" w:color="auto" w:fill="auto"/>
        <w:spacing w:after="0" w:before="0" w:line="240" w:lineRule="auto"/>
        <w:ind w:right="40" w:firstLine="700" w:left="40"/>
        <w:rPr>
          <w:sz w:val="28"/>
          <w:szCs w:val="28"/>
        </w:rPr>
      </w:pPr>
      <w:r>
        <w:rPr>
          <w:rStyle w:val="940"/>
          <w:sz w:val="28"/>
          <w:szCs w:val="28"/>
        </w:rPr>
        <w:t xml:space="preserve">- Концепция общенациональной системы выявления и развития молодых талантов, утвержденная Президентом Российской Федерации 03.04.2012 № Пр-827;</w:t>
      </w:r>
      <w:r>
        <w:rPr>
          <w:sz w:val="28"/>
          <w:szCs w:val="28"/>
        </w:rPr>
      </w:r>
    </w:p>
    <w:p>
      <w:pPr>
        <w:pStyle w:val="760"/>
        <w:pBdr/>
        <w:shd w:val="clear" w:color="auto" w:fill="auto"/>
        <w:spacing w:after="0" w:before="0" w:line="240" w:lineRule="auto"/>
        <w:ind w:right="40" w:firstLine="700" w:left="40"/>
        <w:rPr>
          <w:sz w:val="28"/>
          <w:szCs w:val="28"/>
        </w:rPr>
      </w:pPr>
      <w:r>
        <w:rPr>
          <w:rStyle w:val="940"/>
          <w:sz w:val="28"/>
          <w:szCs w:val="28"/>
        </w:rPr>
        <w:t xml:space="preserve">- постановление Правительства Российской Федерации от 15.04.2014    № 317 «Об утверждении государственной программы Российской Федерации «Развитие культуры» (в редакции от 26.12.2023);</w:t>
      </w:r>
      <w:r>
        <w:rPr>
          <w:sz w:val="28"/>
          <w:szCs w:val="28"/>
        </w:rPr>
      </w:r>
    </w:p>
    <w:p>
      <w:pPr>
        <w:pStyle w:val="760"/>
        <w:pBdr/>
        <w:shd w:val="clear" w:color="auto" w:fill="auto"/>
        <w:spacing w:after="0" w:before="0" w:line="240" w:lineRule="auto"/>
        <w:ind w:right="20" w:firstLine="720" w:left="20"/>
        <w:rPr>
          <w:sz w:val="28"/>
          <w:szCs w:val="28"/>
        </w:rPr>
      </w:pPr>
      <w:r>
        <w:rPr>
          <w:rStyle w:val="940"/>
          <w:sz w:val="28"/>
          <w:szCs w:val="28"/>
        </w:rPr>
        <w:t xml:space="preserve">- закон Алтайского края от 12.05.2005 № 32-3</w:t>
      </w:r>
      <w:r>
        <w:rPr>
          <w:rStyle w:val="940"/>
          <w:sz w:val="28"/>
          <w:szCs w:val="28"/>
          <w:lang w:val="en-US"/>
        </w:rPr>
        <w:t xml:space="preserve">C</w:t>
      </w:r>
      <w:r>
        <w:rPr>
          <w:rStyle w:val="940"/>
          <w:sz w:val="28"/>
          <w:szCs w:val="28"/>
        </w:rPr>
        <w:t xml:space="preserve"> «Об объектах культурного наследия (памятниках истории и культуры) в Алтайском крае»  (в редакции от 07.09.2023);</w:t>
      </w:r>
      <w:r>
        <w:rPr>
          <w:sz w:val="28"/>
          <w:szCs w:val="28"/>
        </w:rPr>
      </w:r>
    </w:p>
    <w:p>
      <w:pPr>
        <w:pStyle w:val="760"/>
        <w:pBdr/>
        <w:shd w:val="clear" w:color="auto" w:fill="auto"/>
        <w:spacing w:after="0" w:before="0" w:line="240" w:lineRule="auto"/>
        <w:ind w:right="20" w:firstLine="720" w:left="20"/>
        <w:rPr>
          <w:rStyle w:val="940"/>
          <w:sz w:val="28"/>
          <w:szCs w:val="28"/>
        </w:rPr>
      </w:pPr>
      <w:r>
        <w:rPr>
          <w:rStyle w:val="940"/>
          <w:sz w:val="28"/>
          <w:szCs w:val="28"/>
        </w:rPr>
        <w:t xml:space="preserve">- закон Алтайского края от 10.04.2007 № 22-ЗС «О библиотечном деле в Алтайском крае» (в редакции от 07.09.2023);</w:t>
      </w:r>
      <w:r>
        <w:rPr>
          <w:rStyle w:val="940"/>
          <w:sz w:val="28"/>
          <w:szCs w:val="28"/>
        </w:rPr>
      </w:r>
    </w:p>
    <w:p>
      <w:pPr>
        <w:pStyle w:val="760"/>
        <w:pBdr/>
        <w:shd w:val="clear" w:color="auto" w:fill="auto"/>
        <w:spacing w:after="0" w:before="0" w:line="240" w:lineRule="auto"/>
        <w:ind w:right="20" w:firstLine="720" w:left="20"/>
        <w:rPr>
          <w:rStyle w:val="940"/>
          <w:sz w:val="28"/>
          <w:szCs w:val="28"/>
        </w:rPr>
      </w:pPr>
      <w:r>
        <w:rPr>
          <w:rStyle w:val="940"/>
          <w:sz w:val="28"/>
          <w:szCs w:val="28"/>
        </w:rPr>
        <w:t xml:space="preserve">- постановление Правительства Алтайского края от 28.12.2023 № 537 «Об утверждении государственной программы Алтайского края «Развитие культуры Алтайского края»;</w:t>
      </w:r>
      <w:r>
        <w:rPr>
          <w:rStyle w:val="940"/>
          <w:sz w:val="28"/>
          <w:szCs w:val="28"/>
        </w:rPr>
      </w:r>
    </w:p>
    <w:p>
      <w:pPr>
        <w:pStyle w:val="760"/>
        <w:pBdr/>
        <w:shd w:val="clear" w:color="auto" w:fill="auto"/>
        <w:spacing w:after="0" w:before="0" w:line="240" w:lineRule="auto"/>
        <w:ind w:right="20" w:firstLine="720" w:left="20"/>
        <w:rPr>
          <w:rStyle w:val="940"/>
          <w:sz w:val="28"/>
          <w:szCs w:val="28"/>
        </w:rPr>
      </w:pPr>
      <w:r>
        <w:rPr>
          <w:rStyle w:val="940"/>
          <w:sz w:val="28"/>
          <w:szCs w:val="28"/>
        </w:rPr>
        <w:t xml:space="preserve">- постановление Администрации города Новоалтайска от 10.10.2019 № 1748 «Об утверждении плановых значений национального проекта «Культура»;</w:t>
      </w:r>
      <w:r>
        <w:rPr>
          <w:rStyle w:val="940"/>
          <w:sz w:val="28"/>
          <w:szCs w:val="28"/>
        </w:rPr>
      </w:r>
    </w:p>
    <w:p>
      <w:pPr>
        <w:pStyle w:val="760"/>
        <w:pBdr/>
        <w:shd w:val="clear" w:color="auto" w:fill="auto"/>
        <w:spacing w:after="0" w:before="0" w:line="240" w:lineRule="auto"/>
        <w:ind w:right="20" w:firstLine="720" w:left="20"/>
        <w:rPr>
          <w:rStyle w:val="940"/>
          <w:sz w:val="28"/>
          <w:szCs w:val="28"/>
        </w:rPr>
      </w:pP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- постановление Администрации города Новоалтайска «О реализации на территории города Новоалтайска проектов «Культура для школьников», «Пушкинская карта» от 18.08.2022 № 1559;</w:t>
      </w:r>
      <w:r>
        <w:rPr>
          <w:rStyle w:val="940"/>
          <w:sz w:val="28"/>
          <w:szCs w:val="28"/>
        </w:rPr>
      </w:r>
    </w:p>
    <w:p>
      <w:pPr>
        <w:pStyle w:val="760"/>
        <w:pBdr/>
        <w:shd w:val="clear" w:color="auto" w:fill="auto"/>
        <w:spacing w:after="0" w:before="0" w:line="240" w:lineRule="auto"/>
        <w:ind w:right="20" w:firstLine="720" w:left="20"/>
        <w:rPr>
          <w:rStyle w:val="940"/>
          <w:sz w:val="28"/>
          <w:szCs w:val="28"/>
        </w:rPr>
      </w:pPr>
      <w:r>
        <w:rPr>
          <w:rStyle w:val="940"/>
          <w:sz w:val="28"/>
          <w:szCs w:val="28"/>
        </w:rPr>
        <w:t xml:space="preserve">- постановление Администрации города Новоалтайска от 24.05.2021    № 865 «Об утверждении плановых значений национальных целей развития города Новоалтайска в сфере культуры»;</w:t>
      </w:r>
      <w:r>
        <w:rPr>
          <w:rStyle w:val="940"/>
          <w:sz w:val="28"/>
          <w:szCs w:val="28"/>
        </w:rPr>
      </w:r>
    </w:p>
    <w:p>
      <w:pPr>
        <w:pStyle w:val="760"/>
        <w:pBdr/>
        <w:shd w:val="clear" w:color="auto" w:fill="auto"/>
        <w:spacing w:after="0" w:before="0" w:line="240" w:lineRule="auto"/>
        <w:ind w:right="20" w:firstLine="720" w:left="20"/>
        <w:rPr>
          <w:rStyle w:val="940"/>
          <w:sz w:val="28"/>
          <w:szCs w:val="28"/>
        </w:rPr>
      </w:pP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 распоряжение Ад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министрации города Новоалтайска «Об утверждении плана мероприятий по реализации в городе Новоалтайске в 2024-2026 годах Основ государственной политики по сохранению и укреплению традиционных российских духовно-нравственных ценностей» от 28.11.2024 № 306-р;</w:t>
      </w:r>
      <w:r>
        <w:rPr>
          <w:rStyle w:val="940"/>
          <w:sz w:val="28"/>
          <w:szCs w:val="28"/>
        </w:rPr>
      </w:r>
    </w:p>
    <w:p>
      <w:pPr>
        <w:pStyle w:val="760"/>
        <w:pBdr/>
        <w:shd w:val="clear" w:color="auto" w:fill="auto"/>
        <w:spacing w:after="0" w:before="0" w:line="240" w:lineRule="auto"/>
        <w:ind w:right="20" w:firstLine="720" w:left="20"/>
        <w:rPr>
          <w:sz w:val="28"/>
          <w:szCs w:val="28"/>
        </w:rPr>
      </w:pPr>
      <w:r>
        <w:rPr>
          <w:rStyle w:val="940"/>
          <w:sz w:val="28"/>
          <w:szCs w:val="28"/>
        </w:rPr>
        <w:t xml:space="preserve">- стратегические документы Алтайского края.</w:t>
      </w:r>
      <w:r>
        <w:rPr>
          <w:sz w:val="28"/>
          <w:szCs w:val="28"/>
        </w:rPr>
      </w:r>
    </w:p>
    <w:p>
      <w:pPr>
        <w:pStyle w:val="760"/>
        <w:pBdr/>
        <w:shd w:val="clear" w:color="auto" w:fill="auto"/>
        <w:spacing w:after="0" w:before="0" w:line="240" w:lineRule="auto"/>
        <w:ind w:right="20" w:firstLine="720" w:left="20"/>
        <w:rPr>
          <w:sz w:val="28"/>
          <w:szCs w:val="28"/>
        </w:rPr>
      </w:pPr>
      <w:r>
        <w:rPr>
          <w:rStyle w:val="940"/>
          <w:sz w:val="28"/>
          <w:szCs w:val="28"/>
        </w:rPr>
        <w:t xml:space="preserve">Реализация Программы будет осуществляться в соответствии со следующими основными приоритетами:</w:t>
      </w:r>
      <w:r>
        <w:rPr>
          <w:sz w:val="28"/>
          <w:szCs w:val="28"/>
        </w:rPr>
      </w:r>
    </w:p>
    <w:p>
      <w:pPr>
        <w:pStyle w:val="760"/>
        <w:pBdr/>
        <w:shd w:val="clear" w:color="auto" w:fill="auto"/>
        <w:spacing w:after="0" w:before="0" w:line="240" w:lineRule="auto"/>
        <w:ind w:right="20" w:firstLine="720" w:left="20"/>
        <w:rPr>
          <w:rStyle w:val="940"/>
          <w:sz w:val="28"/>
          <w:szCs w:val="28"/>
        </w:rPr>
      </w:pPr>
      <w:r>
        <w:rPr>
          <w:rStyle w:val="940"/>
          <w:sz w:val="28"/>
          <w:szCs w:val="28"/>
        </w:rPr>
        <w:t xml:space="preserve">- обеспечение максимальной доступности культурных ценностей для населения, повышение качества и разнообразия культурных услуг;</w:t>
      </w:r>
      <w:r>
        <w:rPr>
          <w:rStyle w:val="940"/>
          <w:sz w:val="28"/>
          <w:szCs w:val="28"/>
        </w:rPr>
      </w:r>
    </w:p>
    <w:p>
      <w:pPr>
        <w:pStyle w:val="760"/>
        <w:pBdr/>
        <w:shd w:val="clear" w:color="auto" w:fill="auto"/>
        <w:spacing w:after="0" w:before="0" w:line="240" w:lineRule="auto"/>
        <w:ind w:right="20" w:firstLine="720" w:left="20"/>
        <w:rPr>
          <w:sz w:val="28"/>
          <w:szCs w:val="28"/>
        </w:rPr>
      </w:pPr>
      <w:r>
        <w:rPr>
          <w:rStyle w:val="940"/>
          <w:sz w:val="28"/>
          <w:szCs w:val="28"/>
        </w:rPr>
        <w:t xml:space="preserve">- создание благоприятных условий для творческой самореализации граждан;</w:t>
      </w:r>
      <w:r>
        <w:rPr>
          <w:sz w:val="28"/>
          <w:szCs w:val="28"/>
        </w:rPr>
      </w:r>
    </w:p>
    <w:p>
      <w:pPr>
        <w:pStyle w:val="760"/>
        <w:pBdr/>
        <w:shd w:val="clear" w:color="auto" w:fill="auto"/>
        <w:spacing w:after="0" w:before="0" w:line="240" w:lineRule="auto"/>
        <w:ind w:right="20" w:firstLine="720" w:left="20"/>
        <w:rPr>
          <w:sz w:val="28"/>
          <w:szCs w:val="28"/>
        </w:rPr>
      </w:pPr>
      <w:r>
        <w:rPr>
          <w:rStyle w:val="940"/>
          <w:sz w:val="28"/>
          <w:szCs w:val="28"/>
        </w:rPr>
        <w:t xml:space="preserve">- повышение социального статуса работников культуры, в том числе путем повышения уровня оплаты их труда;</w:t>
      </w:r>
      <w:r>
        <w:rPr>
          <w:sz w:val="28"/>
          <w:szCs w:val="28"/>
        </w:rPr>
      </w:r>
    </w:p>
    <w:p>
      <w:pPr>
        <w:pStyle w:val="760"/>
        <w:pBdr/>
        <w:shd w:val="clear" w:color="auto" w:fill="auto"/>
        <w:spacing w:after="0" w:before="0" w:line="240" w:lineRule="auto"/>
        <w:ind w:right="40" w:firstLine="720" w:left="20"/>
        <w:rPr>
          <w:rStyle w:val="940"/>
          <w:sz w:val="28"/>
          <w:szCs w:val="28"/>
        </w:rPr>
      </w:pPr>
      <w:r>
        <w:rPr>
          <w:rStyle w:val="940"/>
          <w:sz w:val="28"/>
          <w:szCs w:val="28"/>
        </w:rPr>
        <w:t xml:space="preserve">- сохранение и пополнение библиотечного, музейного фондов;</w:t>
      </w:r>
      <w:r>
        <w:rPr>
          <w:rStyle w:val="940"/>
          <w:sz w:val="28"/>
          <w:szCs w:val="28"/>
        </w:rPr>
      </w:r>
    </w:p>
    <w:p>
      <w:pPr>
        <w:pStyle w:val="760"/>
        <w:pBdr/>
        <w:shd w:val="clear" w:color="auto" w:fill="auto"/>
        <w:spacing w:after="0" w:before="0" w:line="240" w:lineRule="auto"/>
        <w:ind w:right="40" w:firstLine="720" w:left="20"/>
        <w:rPr>
          <w:rStyle w:val="940"/>
          <w:sz w:val="28"/>
          <w:szCs w:val="28"/>
        </w:rPr>
      </w:pPr>
      <w:r>
        <w:rPr>
          <w:rStyle w:val="940"/>
          <w:sz w:val="28"/>
          <w:szCs w:val="28"/>
        </w:rPr>
        <w:t xml:space="preserve">- возрождение и развитие народных художественных ремесел, поддержка самодеятельных художественных коллективов;</w:t>
      </w:r>
      <w:r>
        <w:rPr>
          <w:rStyle w:val="940"/>
          <w:sz w:val="28"/>
          <w:szCs w:val="28"/>
        </w:rPr>
      </w:r>
    </w:p>
    <w:p>
      <w:pPr>
        <w:pStyle w:val="760"/>
        <w:pBdr/>
        <w:shd w:val="clear" w:color="auto" w:fill="auto"/>
        <w:spacing w:after="0" w:before="0" w:line="240" w:lineRule="auto"/>
        <w:ind w:right="40" w:firstLine="720" w:left="20"/>
        <w:rPr>
          <w:rStyle w:val="940"/>
          <w:sz w:val="28"/>
          <w:szCs w:val="28"/>
        </w:rPr>
      </w:pPr>
      <w:r>
        <w:rPr>
          <w:rStyle w:val="940"/>
          <w:sz w:val="28"/>
          <w:szCs w:val="28"/>
        </w:rPr>
        <w:t xml:space="preserve">- сохранение, охрана, популяризация и эффективное использование объектов культурного наследия;</w:t>
      </w:r>
      <w:r>
        <w:rPr>
          <w:rStyle w:val="940"/>
          <w:sz w:val="28"/>
          <w:szCs w:val="28"/>
        </w:rPr>
      </w:r>
    </w:p>
    <w:p>
      <w:pPr>
        <w:pStyle w:val="760"/>
        <w:pBdr/>
        <w:shd w:val="clear" w:color="auto" w:fill="auto"/>
        <w:spacing w:after="0" w:before="0" w:line="240" w:lineRule="auto"/>
        <w:ind w:right="40" w:firstLine="720" w:left="20"/>
        <w:rPr>
          <w:sz w:val="28"/>
          <w:szCs w:val="28"/>
        </w:rPr>
      </w:pPr>
      <w:r>
        <w:rPr>
          <w:rStyle w:val="940"/>
          <w:sz w:val="28"/>
          <w:szCs w:val="28"/>
        </w:rPr>
        <w:t xml:space="preserve">- развитие волонтерского движения;</w:t>
      </w:r>
      <w:r>
        <w:rPr>
          <w:sz w:val="28"/>
          <w:szCs w:val="28"/>
        </w:rPr>
      </w:r>
    </w:p>
    <w:p>
      <w:pPr>
        <w:pStyle w:val="760"/>
        <w:pBdr/>
        <w:shd w:val="clear" w:color="auto" w:fill="auto"/>
        <w:spacing w:after="0" w:before="0" w:line="240" w:lineRule="auto"/>
        <w:ind w:right="40" w:firstLine="720" w:left="20"/>
        <w:rPr>
          <w:sz w:val="28"/>
          <w:szCs w:val="28"/>
        </w:rPr>
      </w:pPr>
      <w:r>
        <w:rPr>
          <w:rStyle w:val="940"/>
          <w:sz w:val="28"/>
          <w:szCs w:val="28"/>
        </w:rPr>
        <w:t xml:space="preserve">- капитальный ремонт, техническая модернизация учреждений культуры и образовательных организаций в области искусств.</w:t>
      </w:r>
      <w:r>
        <w:rPr>
          <w:sz w:val="28"/>
          <w:szCs w:val="28"/>
        </w:rPr>
      </w:r>
    </w:p>
    <w:p>
      <w:pPr>
        <w:pStyle w:val="760"/>
        <w:pBdr/>
        <w:shd w:val="clear" w:color="auto" w:fill="auto"/>
        <w:spacing w:after="341" w:before="0" w:line="240" w:lineRule="auto"/>
        <w:ind w:right="40" w:firstLine="720" w:left="20"/>
        <w:rPr>
          <w:rStyle w:val="940"/>
          <w:sz w:val="28"/>
          <w:szCs w:val="28"/>
        </w:rPr>
      </w:pPr>
      <w:r>
        <w:rPr>
          <w:rStyle w:val="940"/>
          <w:sz w:val="28"/>
          <w:szCs w:val="28"/>
        </w:rPr>
        <w:t xml:space="preserve">Развитие культуры является одним из приоритетных направлений социальной политики города Новоалтайска в целом.</w:t>
      </w:r>
      <w:r>
        <w:rPr>
          <w:rStyle w:val="940"/>
          <w:sz w:val="28"/>
          <w:szCs w:val="28"/>
        </w:rPr>
      </w:r>
    </w:p>
    <w:p>
      <w:pPr>
        <w:pStyle w:val="937"/>
        <w:widowControl w:val="false"/>
        <w:numPr>
          <w:ilvl w:val="1"/>
          <w:numId w:val="2"/>
        </w:num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цели, задач и конечных результатов реализации муниципальной программы</w:t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Программы является развитие культуры в городе Новоалтайске.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числу основных задач, требующих решения для достижения поставленной цели, относятся: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Обеспечение сохранности и использования объектов культурного наследия города.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Повышение доступности и качества услуг и работ в сфере библиотечного дела.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Повышение доступности и качества музейных услуг и работ.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Создание условий для сохранения и развития коллективов самодеятельного творчества, а также традиционной народной культуры.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Модернизация художественного образования.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Обеспечение процесса организации условий развития сферы культуры города.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реализации муниципальной программы к 2025 году предполагается: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rStyle w:val="943"/>
          <w:b w:val="0"/>
          <w:sz w:val="28"/>
          <w:szCs w:val="28"/>
        </w:rPr>
      </w:pPr>
      <w:r>
        <w:rPr>
          <w:rStyle w:val="943"/>
          <w:b w:val="0"/>
          <w:sz w:val="28"/>
          <w:szCs w:val="28"/>
        </w:rPr>
        <w:t xml:space="preserve">1. Сохранение доли объектов культурного наследия, находящихся в удовлетворительном состоянии, в общем количестве объектов культурного наследия регионального значения на территории города до 100%.</w:t>
      </w:r>
      <w:r>
        <w:rPr>
          <w:rStyle w:val="943"/>
          <w:b w:val="0"/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rStyle w:val="943"/>
          <w:b w:val="0"/>
          <w:sz w:val="28"/>
          <w:szCs w:val="28"/>
        </w:rPr>
      </w:pPr>
      <w:r>
        <w:rPr>
          <w:rStyle w:val="943"/>
          <w:b w:val="0"/>
          <w:sz w:val="28"/>
          <w:szCs w:val="28"/>
        </w:rPr>
        <w:t xml:space="preserve">2. Увеличение количества посещений библиотек до 530,8 тыс. единиц.</w:t>
      </w:r>
      <w:r>
        <w:rPr>
          <w:rStyle w:val="943"/>
          <w:b w:val="0"/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rStyle w:val="943"/>
          <w:b w:val="0"/>
          <w:sz w:val="28"/>
          <w:szCs w:val="28"/>
        </w:rPr>
      </w:pPr>
      <w:r>
        <w:rPr>
          <w:rStyle w:val="943"/>
          <w:b w:val="0"/>
          <w:sz w:val="28"/>
          <w:szCs w:val="28"/>
        </w:rPr>
        <w:t xml:space="preserve">3. Увеличение количества книговыдач до 862,5 тыс. экземпляров.</w:t>
      </w:r>
      <w:r>
        <w:rPr>
          <w:rStyle w:val="943"/>
          <w:b w:val="0"/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Рост числа обращений к цифровым ресурсам библиотек до 75,5 тыс. обращений.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Увеличение количества посещений музея до 13,0 тыс. посещений.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Увеличение доли представленных (во всех формах) зрителю музейных предметов в общем количестве музейных предметов основного фонда до 43%.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Увеличение количества посещений культурно-массовых мероприятий в культурно – досуговых учреждениях до 347,47 тыс. единиц.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Увеличение количества посещений культурно-досуговых учреждений на платной основе до 67,93 тыс. единиц.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rStyle w:val="943"/>
          <w:b w:val="0"/>
          <w:sz w:val="28"/>
          <w:szCs w:val="28"/>
        </w:rPr>
      </w:pPr>
      <w:r>
        <w:rPr>
          <w:sz w:val="28"/>
          <w:szCs w:val="28"/>
        </w:rPr>
        <w:t xml:space="preserve">9. Р</w:t>
      </w:r>
      <w:r>
        <w:rPr>
          <w:rStyle w:val="943"/>
          <w:b w:val="0"/>
          <w:sz w:val="28"/>
          <w:szCs w:val="28"/>
        </w:rPr>
        <w:t xml:space="preserve">ост числа участников клубных формирований до 1460 человек.</w:t>
      </w:r>
      <w:r>
        <w:rPr>
          <w:rStyle w:val="943"/>
          <w:b w:val="0"/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rStyle w:val="943"/>
          <w:b w:val="0"/>
          <w:sz w:val="28"/>
          <w:szCs w:val="28"/>
        </w:rPr>
      </w:pPr>
      <w:r>
        <w:rPr>
          <w:rStyle w:val="943"/>
          <w:b w:val="0"/>
          <w:sz w:val="28"/>
          <w:szCs w:val="28"/>
        </w:rPr>
        <w:t xml:space="preserve">10. Сохранение обеспеченности населения местами в учреждениях культуры на 1000 жителей до 17,5 мест. </w:t>
      </w:r>
      <w:r>
        <w:rPr>
          <w:rStyle w:val="943"/>
          <w:b w:val="0"/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rStyle w:val="943"/>
          <w:b w:val="0"/>
          <w:sz w:val="28"/>
          <w:szCs w:val="28"/>
        </w:rPr>
      </w:pPr>
      <w:r>
        <w:rPr>
          <w:rStyle w:val="943"/>
          <w:b w:val="0"/>
          <w:sz w:val="28"/>
          <w:szCs w:val="28"/>
        </w:rPr>
        <w:t xml:space="preserve">11. Рост числа обучающихся в детских школах искусств до 1587 человек.</w:t>
      </w:r>
      <w:r>
        <w:rPr>
          <w:rStyle w:val="943"/>
          <w:b w:val="0"/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rStyle w:val="943"/>
          <w:b w:val="0"/>
          <w:sz w:val="28"/>
          <w:szCs w:val="28"/>
        </w:rPr>
      </w:pPr>
      <w:r>
        <w:rPr>
          <w:rStyle w:val="943"/>
          <w:b w:val="0"/>
          <w:sz w:val="28"/>
          <w:szCs w:val="28"/>
        </w:rPr>
        <w:t xml:space="preserve">12. Увеличение доли обучающихся по дополнительным предпрофессиональным общеобразовательным программам в области искусства в детских школах искусств в общем количестве учащихся до 80 %.</w:t>
      </w:r>
      <w:r>
        <w:rPr>
          <w:rStyle w:val="943"/>
          <w:b w:val="0"/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 Увеличение доли лауреатов, дипломантов региональных, всероссийских и международных конкурсов от общего количества учащихся до 67%.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Увеличение числа посещений культурных мероприятий, проводимых детскими школами искусств до 14,613 тыс. единиц.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Рост числа волонтеров культуры до 15 человек.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 Увеличение количества посещений учреждений культуры               (на 1 жителя в год) до 7,38 единиц.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порядке расчета значений индикатора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74"/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2583"/>
        <w:gridCol w:w="4647"/>
        <w:gridCol w:w="1571"/>
      </w:tblGrid>
      <w:tr>
        <w:trPr>
          <w:cantSplit/>
          <w:tblHeader/>
        </w:trPr>
        <w:tc>
          <w:tcPr>
            <w:tcBorders/>
            <w:tcW w:w="675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п/п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58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индикатора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464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Методика расчета значения целевого индикатора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559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получения данных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blHeader/>
        </w:trPr>
        <w:tc>
          <w:tcPr>
            <w:tcBorders/>
            <w:tcW w:w="675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583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464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559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/>
            <w:tcW w:w="675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583" w:type="dxa"/>
            <w:textDirection w:val="lrTb"/>
            <w:noWrap/>
          </w:tcPr>
          <w:p>
            <w:pPr>
              <w:widowControl w:val="false"/>
              <w:pBdr/>
              <w:spacing/>
              <w:ind w:left="-108"/>
              <w:jc w:val="both"/>
              <w:rPr>
                <w:b/>
                <w:sz w:val="24"/>
                <w:szCs w:val="24"/>
              </w:rPr>
            </w:pPr>
            <w:r>
              <w:rPr>
                <w:rStyle w:val="943"/>
                <w:b w:val="0"/>
                <w:sz w:val="24"/>
                <w:szCs w:val="24"/>
              </w:rPr>
              <w:t xml:space="preserve">Доля объектов культурного наследия, находящихся в удовлетворительном состоянии, в общем количестве объектов культурного наследия регионального значения на территории города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/>
            <w:tcW w:w="464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объектов культурного наследия регионального значения, находящихся на территории города/на количество объектов культурного наследия, находящихся на территории города в удовлетворительном состоянии *100 %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559" w:type="dxa"/>
            <w:textDirection w:val="lrTb"/>
            <w:noWrap/>
          </w:tcPr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культуре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«КДЦ»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/>
            <w:tcW w:w="675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583" w:type="dxa"/>
            <w:textDirection w:val="lrTb"/>
            <w:noWrap/>
          </w:tcPr>
          <w:p>
            <w:pPr>
              <w:widowControl w:val="false"/>
              <w:pBdr/>
              <w:spacing/>
              <w:ind w:left="-108"/>
              <w:rPr>
                <w:b/>
                <w:sz w:val="24"/>
                <w:szCs w:val="24"/>
              </w:rPr>
            </w:pPr>
            <w:r>
              <w:rPr>
                <w:rStyle w:val="943"/>
                <w:b w:val="0"/>
                <w:sz w:val="24"/>
                <w:szCs w:val="24"/>
              </w:rPr>
              <w:t xml:space="preserve">Количество посещений библиотек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/>
            <w:tcW w:w="464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физических посещений библиотек+количество посещений внестационарных форм+количество обращений к цифровым ресурсам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559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«ЦГБ»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/>
            <w:tcW w:w="675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583" w:type="dxa"/>
            <w:textDirection w:val="lrTb"/>
            <w:noWrap/>
          </w:tcPr>
          <w:p>
            <w:pPr>
              <w:widowControl w:val="false"/>
              <w:pBdr/>
              <w:spacing/>
              <w:ind w:left="-108"/>
              <w:jc w:val="both"/>
              <w:rPr>
                <w:rStyle w:val="943"/>
                <w:b w:val="0"/>
                <w:sz w:val="24"/>
                <w:szCs w:val="24"/>
              </w:rPr>
            </w:pPr>
            <w:r>
              <w:rPr>
                <w:rStyle w:val="943"/>
                <w:b w:val="0"/>
                <w:sz w:val="24"/>
                <w:szCs w:val="24"/>
              </w:rPr>
              <w:t xml:space="preserve">Количество книговыдач </w:t>
            </w:r>
            <w:r>
              <w:rPr>
                <w:rStyle w:val="943"/>
                <w:b w:val="0"/>
                <w:sz w:val="24"/>
                <w:szCs w:val="24"/>
              </w:rPr>
            </w:r>
          </w:p>
        </w:tc>
        <w:tc>
          <w:tcPr>
            <w:tcBorders/>
            <w:tcW w:w="464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книг и других документов, выданных пользователям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559" w:type="dxa"/>
            <w:textDirection w:val="lrTb"/>
            <w:noWrap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«ЦГБ»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/>
            <w:tcW w:w="675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583" w:type="dxa"/>
            <w:textDirection w:val="lrTb"/>
            <w:noWrap/>
          </w:tcPr>
          <w:p>
            <w:pPr>
              <w:pStyle w:val="944"/>
              <w:pBdr/>
              <w:spacing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обращений к цифровым ресурсам библиотек 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464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обращений удаленных пользователей   к цифровым ресурсам –сайтам учреждения, представленных в сети Интернет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559" w:type="dxa"/>
            <w:textDirection w:val="lrTb"/>
            <w:noWrap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«ЦГБ»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/>
            <w:tcW w:w="675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583" w:type="dxa"/>
            <w:textDirection w:val="lrTb"/>
            <w:noWrap/>
          </w:tcPr>
          <w:p>
            <w:pPr>
              <w:widowControl w:val="false"/>
              <w:pBdr/>
              <w:spacing/>
              <w:ind w:left="-108"/>
              <w:rPr>
                <w:b/>
                <w:sz w:val="24"/>
                <w:szCs w:val="24"/>
              </w:rPr>
            </w:pPr>
            <w:r>
              <w:rPr>
                <w:rStyle w:val="943"/>
                <w:b w:val="0"/>
                <w:sz w:val="24"/>
                <w:szCs w:val="24"/>
              </w:rPr>
              <w:t xml:space="preserve">Количество посещений музея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/>
            <w:tcW w:w="464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физических посещений музея 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559" w:type="dxa"/>
            <w:textDirection w:val="lrTb"/>
            <w:noWrap/>
          </w:tcPr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«НКМ»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/>
            <w:tcW w:w="675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583" w:type="dxa"/>
            <w:textDirection w:val="lrTb"/>
            <w:noWrap/>
          </w:tcPr>
          <w:p>
            <w:pPr>
              <w:widowControl w:val="false"/>
              <w:pBdr/>
              <w:spacing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представленных (во всех формах) зрителю музейных предметов в общем количестве музейных предметов основного фонда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464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предметов основного фонда МБУК «НКМ», представленного зрителю в отчетном периоде/общее число предметов основного фонда МБУК «НКМ» на конец года*100%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559" w:type="dxa"/>
            <w:textDirection w:val="lrTb"/>
            <w:noWrap/>
          </w:tcPr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«НКМ»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/>
            <w:tcW w:w="675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583" w:type="dxa"/>
            <w:textDirection w:val="lrTb"/>
            <w:noWrap/>
          </w:tcPr>
          <w:p>
            <w:pPr>
              <w:widowControl w:val="false"/>
              <w:pBdr/>
              <w:spacing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посещений культурно – массовых мероприятий в культурно – досуговых учреждениях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464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посещений культурно – массовых мероприятий МБУК «КДЦ» + количество культурно – массовых мероприятий МБУК «ГЦК»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559" w:type="dxa"/>
            <w:textDirection w:val="lrTb"/>
            <w:noWrap/>
          </w:tcPr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«КДЦ»;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«ГЦК»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/>
            <w:tcW w:w="675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583" w:type="dxa"/>
            <w:textDirection w:val="lrTb"/>
            <w:noWrap/>
          </w:tcPr>
          <w:p>
            <w:pPr>
              <w:widowControl w:val="false"/>
              <w:pBdr/>
              <w:spacing/>
              <w:ind w:left="-108"/>
              <w:jc w:val="both"/>
              <w:rPr>
                <w:rStyle w:val="943"/>
                <w:b w:val="0"/>
                <w:sz w:val="24"/>
                <w:szCs w:val="24"/>
              </w:rPr>
            </w:pPr>
            <w:r>
              <w:rPr>
                <w:rStyle w:val="943"/>
                <w:b w:val="0"/>
                <w:sz w:val="24"/>
                <w:szCs w:val="24"/>
              </w:rPr>
              <w:t xml:space="preserve">Количество посещений культурно-досуговых учреждений на платной основе</w:t>
            </w:r>
            <w:r>
              <w:rPr>
                <w:rStyle w:val="943"/>
                <w:b w:val="0"/>
                <w:sz w:val="24"/>
                <w:szCs w:val="24"/>
              </w:rPr>
            </w:r>
          </w:p>
        </w:tc>
        <w:tc>
          <w:tcPr>
            <w:tcBorders/>
            <w:tcW w:w="464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посещений на платной основе МБУК «КДЦ» + количество посещений на платной основе МБУК «ГЦК»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559" w:type="dxa"/>
            <w:textDirection w:val="lrTb"/>
            <w:noWrap/>
          </w:tcPr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«КДЦ»;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«ГЦК»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/>
            <w:tcW w:w="675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583" w:type="dxa"/>
            <w:textDirection w:val="lrTb"/>
            <w:noWrap/>
          </w:tcPr>
          <w:p>
            <w:pPr>
              <w:pStyle w:val="944"/>
              <w:pBdr/>
              <w:spacing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участников клубных формирований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464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участников клубных формирований МБУК «КДЦ» + количество участников клубных формирований МБУК</w:t>
            </w:r>
            <w:r>
              <w:rPr>
                <w:sz w:val="24"/>
                <w:szCs w:val="24"/>
                <w:lang w:val="en-US"/>
              </w:rPr>
              <w:t xml:space="preserve"> </w:t>
            </w:r>
            <w:r>
              <w:rPr>
                <w:sz w:val="24"/>
                <w:szCs w:val="24"/>
              </w:rPr>
              <w:t xml:space="preserve">«ГЦК»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559" w:type="dxa"/>
            <w:textDirection w:val="lrTb"/>
            <w:noWrap/>
          </w:tcPr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«КДЦ»;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«ГЦК»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/>
            <w:tcW w:w="675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583" w:type="dxa"/>
            <w:textDirection w:val="lrTb"/>
            <w:noWrap/>
          </w:tcPr>
          <w:p>
            <w:pPr>
              <w:pStyle w:val="944"/>
              <w:pBdr/>
              <w:spacing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Обеспеченность населения местами в учреждениях культуры на 1000 человек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464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посадочных мест в зрительных залах МБУК «КДЦ» + Количество посадочных мест в зрительных залах МБУК «ГЦК» / количество жителей города в отчетном периоде * 1000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559" w:type="dxa"/>
            <w:textDirection w:val="lrTb"/>
            <w:noWrap/>
          </w:tcPr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«КДЦ»;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«ГЦК»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/>
            <w:tcW w:w="675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583" w:type="dxa"/>
            <w:textDirection w:val="lrTb"/>
            <w:noWrap/>
          </w:tcPr>
          <w:p>
            <w:pPr>
              <w:pStyle w:val="760"/>
              <w:pBdr/>
              <w:shd w:val="clear" w:color="auto" w:fill="auto"/>
              <w:spacing w:after="0" w:before="0" w:line="240" w:lineRule="auto"/>
              <w:ind w:firstLine="0" w:left="-108"/>
              <w:rPr>
                <w:rStyle w:val="943"/>
                <w:b w:val="0"/>
                <w:sz w:val="24"/>
                <w:szCs w:val="24"/>
              </w:rPr>
            </w:pPr>
            <w:r>
              <w:rPr>
                <w:rStyle w:val="943"/>
                <w:b w:val="0"/>
                <w:sz w:val="24"/>
                <w:szCs w:val="24"/>
              </w:rPr>
              <w:t xml:space="preserve">Число обучающихся в детских школах искусств</w:t>
            </w:r>
            <w:r>
              <w:rPr>
                <w:rStyle w:val="943"/>
                <w:b w:val="0"/>
                <w:sz w:val="24"/>
                <w:szCs w:val="24"/>
              </w:rPr>
            </w:r>
          </w:p>
        </w:tc>
        <w:tc>
          <w:tcPr>
            <w:tcBorders/>
            <w:tcW w:w="464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обучающихся в ДШИ № 1 + Число обучающихся в ДШИ № 2 + Число обучающихся в ДШИ № 3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559" w:type="dxa"/>
            <w:textDirection w:val="lrTb"/>
            <w:noWrap/>
          </w:tcPr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«ДШИ №1»;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«ДШИ</w:t>
            </w:r>
            <w:r>
              <w:rPr>
                <w:sz w:val="24"/>
                <w:szCs w:val="24"/>
                <w:lang w:val="en-US"/>
              </w:rPr>
              <w:t xml:space="preserve"> </w:t>
            </w: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  <w:lang w:val="en-US"/>
              </w:rPr>
              <w:t xml:space="preserve"> </w:t>
            </w:r>
            <w:r>
              <w:rPr>
                <w:sz w:val="24"/>
                <w:szCs w:val="24"/>
              </w:rPr>
              <w:t xml:space="preserve">2»;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«ДШИ № 3»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/>
            <w:tcW w:w="675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583" w:type="dxa"/>
            <w:textDirection w:val="lrTb"/>
            <w:noWrap/>
          </w:tcPr>
          <w:p>
            <w:pPr>
              <w:pStyle w:val="760"/>
              <w:pBdr/>
              <w:shd w:val="clear" w:color="auto" w:fill="auto"/>
              <w:spacing w:after="0" w:before="0" w:line="240" w:lineRule="auto"/>
              <w:ind w:firstLine="0" w:left="-108"/>
              <w:rPr>
                <w:rStyle w:val="943"/>
                <w:b w:val="0"/>
                <w:sz w:val="24"/>
                <w:szCs w:val="24"/>
              </w:rPr>
            </w:pPr>
            <w:r>
              <w:rPr>
                <w:rStyle w:val="943"/>
                <w:b w:val="0"/>
                <w:sz w:val="24"/>
                <w:szCs w:val="24"/>
              </w:rPr>
              <w:t xml:space="preserve">Доля обучающихся по дополнительным предпрофессиональным общеобразовательным программам в области искусства в детских школах искусств в общем количестве учащихся</w:t>
            </w:r>
            <w:r>
              <w:rPr>
                <w:rStyle w:val="943"/>
                <w:b w:val="0"/>
                <w:sz w:val="24"/>
                <w:szCs w:val="24"/>
              </w:rPr>
            </w:r>
          </w:p>
        </w:tc>
        <w:tc>
          <w:tcPr>
            <w:tcBorders/>
            <w:tcW w:w="464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обучающихся по ДПОП ДШИ № 1 + число обучающихся ДШИ № 2 + число обучающихся ДШИ № 3 * 100/ общее количество обучающихся в детских школах искусств 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559" w:type="dxa"/>
            <w:textDirection w:val="lrTb"/>
            <w:noWrap/>
          </w:tcPr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«ДШИ № 1»;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«ДШИ № 2»;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«ДШИ № 3»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/>
            <w:tcW w:w="675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583" w:type="dxa"/>
            <w:textDirection w:val="lrTb"/>
            <w:noWrap/>
          </w:tcPr>
          <w:p>
            <w:pPr>
              <w:pStyle w:val="760"/>
              <w:pBdr/>
              <w:spacing w:after="0" w:before="0" w:line="240" w:lineRule="auto"/>
              <w:ind w:firstLine="0" w:left="-108"/>
              <w:rPr>
                <w:rStyle w:val="94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лауреатов, дипломантов региональных, всероссийских и международных конкурсов от общего количества учащихся</w:t>
            </w:r>
            <w:r>
              <w:rPr>
                <w:rStyle w:val="943"/>
                <w:sz w:val="24"/>
                <w:szCs w:val="24"/>
              </w:rPr>
            </w:r>
          </w:p>
        </w:tc>
        <w:tc>
          <w:tcPr>
            <w:tcBorders/>
            <w:tcW w:w="464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лауреатов, дипломантов ДШИ</w:t>
            </w:r>
            <w:r>
              <w:rPr>
                <w:sz w:val="24"/>
                <w:szCs w:val="24"/>
                <w:lang w:val="en-US"/>
              </w:rPr>
              <w:t xml:space="preserve"> </w:t>
            </w:r>
            <w:r>
              <w:rPr>
                <w:sz w:val="24"/>
                <w:szCs w:val="24"/>
              </w:rPr>
              <w:t xml:space="preserve">№1 + количество лауреатов, дипломантов ДШИ № 2 + количество лауреатов, дипломантов ДШИ № 3/общее количество учащихся ДШИ № 1,2,3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559" w:type="dxa"/>
            <w:textDirection w:val="lrTb"/>
            <w:noWrap/>
          </w:tcPr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«ДШИ № 1»;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«ДШИ № 2»;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«ДШИ № 3»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/>
            <w:tcW w:w="675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583" w:type="dxa"/>
            <w:textDirection w:val="lrTb"/>
            <w:noWrap/>
          </w:tcPr>
          <w:p>
            <w:pPr>
              <w:pStyle w:val="760"/>
              <w:pBdr/>
              <w:spacing w:after="0" w:before="0" w:line="240" w:lineRule="auto"/>
              <w:ind w:firstLine="0"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посещений культурных мероприятий, проводимых детскими школами искусств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464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посещений культурных мероприятий ДШИ № 1 + Количество посещений культурных мероприятий ДШИ №</w:t>
            </w:r>
            <w:r>
              <w:rPr>
                <w:sz w:val="24"/>
                <w:szCs w:val="24"/>
                <w:lang w:val="en-US"/>
              </w:rPr>
              <w:t xml:space="preserve"> </w:t>
            </w:r>
            <w:r>
              <w:rPr>
                <w:sz w:val="24"/>
                <w:szCs w:val="24"/>
              </w:rPr>
              <w:t xml:space="preserve">2 + Количество посещений культурных мероприятий ДШИ № 3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559" w:type="dxa"/>
            <w:textDirection w:val="lrTb"/>
            <w:noWrap/>
          </w:tcPr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«ДШИ № 1»;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«ДШИ № 2»;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«ДШИ № 3»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/>
            <w:tcW w:w="675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583" w:type="dxa"/>
            <w:textDirection w:val="lrTb"/>
            <w:noWrap/>
          </w:tcPr>
          <w:p>
            <w:pPr>
              <w:pStyle w:val="760"/>
              <w:pBdr/>
              <w:spacing w:after="0" w:before="0" w:line="240" w:lineRule="auto"/>
              <w:ind w:firstLine="0"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волонтеров культуры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464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волонтеров культуры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559" w:type="dxa"/>
            <w:textDirection w:val="lrTb"/>
            <w:noWrap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культуре 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/>
            <w:tcW w:w="675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583" w:type="dxa"/>
            <w:textDirection w:val="lrTb"/>
            <w:noWrap/>
          </w:tcPr>
          <w:p>
            <w:pPr>
              <w:widowControl w:val="false"/>
              <w:pBdr/>
              <w:spacing/>
              <w:ind w:left="-108"/>
              <w:jc w:val="both"/>
              <w:rPr>
                <w:rStyle w:val="943"/>
                <w:b w:val="0"/>
                <w:sz w:val="24"/>
                <w:szCs w:val="24"/>
              </w:rPr>
            </w:pPr>
            <w:r>
              <w:rPr>
                <w:rStyle w:val="943"/>
                <w:b w:val="0"/>
                <w:sz w:val="24"/>
                <w:szCs w:val="24"/>
              </w:rPr>
              <w:t xml:space="preserve">Количество посещений учреждений культуры (на 1 жителя в год)</w:t>
            </w:r>
            <w:r>
              <w:rPr>
                <w:rStyle w:val="943"/>
                <w:b w:val="0"/>
                <w:sz w:val="24"/>
                <w:szCs w:val="24"/>
              </w:rPr>
            </w:r>
          </w:p>
        </w:tc>
        <w:tc>
          <w:tcPr>
            <w:tcBorders/>
            <w:tcW w:w="464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посещений библиотек + количество посещений музея + количество </w:t>
            </w:r>
            <w:r>
              <w:rPr>
                <w:rStyle w:val="943"/>
                <w:b w:val="0"/>
                <w:sz w:val="24"/>
                <w:szCs w:val="24"/>
              </w:rPr>
              <w:t xml:space="preserve">посещений культурно-досуговых учреждений на платной основе/на количество жителей в отчетный период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559" w:type="dxa"/>
            <w:textDirection w:val="lrTb"/>
            <w:noWrap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культуре, отдел по экономике</w:t>
            </w:r>
            <w:r>
              <w:rPr>
                <w:sz w:val="24"/>
                <w:szCs w:val="24"/>
              </w:rPr>
            </w:r>
          </w:p>
        </w:tc>
      </w:tr>
    </w:tbl>
    <w:p>
      <w:pPr>
        <w:widowControl w:val="false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реализуется в период с 2021 по 2025 годы. Перечень индикаторов муниципальной программы и ожидаемые результаты к концу 2025 года отражены в приложении 1 к настоящей Программе.</w:t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7"/>
        <w:widowControl w:val="false"/>
        <w:numPr>
          <w:ilvl w:val="0"/>
          <w:numId w:val="2"/>
        </w:num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Общая характеристика мероприятий муниципальной программы, сроков и этапов их реализации</w:t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программных мероприятий определен исходя из необходимости достижения ее цели и задач. Перечень мероприятий Программы отражен в приложении 2 к настоящей Программе. Муниципальная программа реализуется без деления на этапы.</w:t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7"/>
        <w:widowControl w:val="false"/>
        <w:numPr>
          <w:ilvl w:val="0"/>
          <w:numId w:val="2"/>
        </w:num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финансовых ресурсов, необходимых для реализации муниципальной программы</w:t>
      </w:r>
      <w:r>
        <w:rPr>
          <w:sz w:val="28"/>
          <w:szCs w:val="28"/>
        </w:rPr>
      </w:r>
    </w:p>
    <w:p>
      <w:pPr>
        <w:pStyle w:val="937"/>
        <w:widowControl w:val="false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0"/>
        <w:pBdr/>
        <w:shd w:val="clear" w:color="auto" w:fill="auto"/>
        <w:spacing w:after="0" w:before="0" w:line="240" w:lineRule="auto"/>
        <w:ind w:firstLine="700" w:left="40"/>
        <w:rPr>
          <w:rStyle w:val="940"/>
          <w:sz w:val="28"/>
          <w:szCs w:val="28"/>
        </w:rPr>
      </w:pPr>
      <w:r>
        <w:rPr>
          <w:rStyle w:val="940"/>
          <w:sz w:val="28"/>
          <w:szCs w:val="28"/>
        </w:rPr>
        <w:t xml:space="preserve">Финансирование Программы осуществляется за счет средств бюджета городского округа в соответствии с нормативно-правовыми актами о бюджете города и на плановый период.</w:t>
      </w:r>
      <w:r>
        <w:rPr>
          <w:rStyle w:val="940"/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rStyle w:val="940"/>
          <w:sz w:val="28"/>
          <w:szCs w:val="28"/>
        </w:rPr>
        <w:t xml:space="preserve">Общий объем финансирования Программы </w:t>
      </w:r>
      <w:r>
        <w:rPr>
          <w:sz w:val="28"/>
          <w:szCs w:val="28"/>
        </w:rPr>
        <w:t xml:space="preserve">за счет средств бюджета городского округа составляе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т 934209,9 т</w:t>
      </w:r>
      <w:r>
        <w:rPr>
          <w:sz w:val="28"/>
          <w:szCs w:val="28"/>
        </w:rPr>
        <w:t xml:space="preserve">ыс.рублей, в том числе по годам:</w:t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- 2021 год - 136845,2 тыс.рублей;</w:t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- 2022 год - 150557,0 тыс.рублей;</w:t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- 2023 год - 196691,8 тыс.рублей: в том числе средства бюджета городского  округа 186847,8тыс.рублей; федеральный бюджет 9350,0  тыс.рублей; краевой бюджет 494,0 тыс.рублей;</w:t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- 2024 г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од – 226335,3 тыс.рублей: в том числе средства бюджета городского  округа 221720,8тыс.рублей; федеральный бюджет 4568,4тыс.рублей; краевой бюджет 46,1тыс.р</w:t>
      </w:r>
      <w:r>
        <w:rPr>
          <w:sz w:val="28"/>
          <w:szCs w:val="28"/>
        </w:rPr>
        <w:t xml:space="preserve">ублей;</w:t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both"/>
        <w:rPr>
          <w:rStyle w:val="940"/>
          <w:sz w:val="28"/>
          <w:szCs w:val="28"/>
        </w:rPr>
      </w:pPr>
      <w:r>
        <w:rPr>
          <w:sz w:val="28"/>
          <w:szCs w:val="28"/>
        </w:rPr>
        <w:t xml:space="preserve">- 2025 год –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223780,6</w:t>
      </w:r>
      <w:r>
        <w:rPr>
          <w:color w:val="59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тыс.рублей.</w:t>
      </w:r>
      <w:r>
        <w:rPr>
          <w:rStyle w:val="940"/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rStyle w:val="940"/>
          <w:sz w:val="28"/>
          <w:szCs w:val="28"/>
        </w:rPr>
        <w:t xml:space="preserve">Объемы финансирования Программы подлежат ежегодному уточнению в соответствии с законами о федеральном и краевом бюджетах, бюджете города на очередной финансовый год и на плановый период.</w:t>
      </w:r>
      <w:r>
        <w:rPr>
          <w:sz w:val="28"/>
          <w:szCs w:val="28"/>
        </w:rPr>
      </w:r>
    </w:p>
    <w:p>
      <w:pPr>
        <w:pStyle w:val="760"/>
        <w:pBdr/>
        <w:shd w:val="clear" w:color="auto" w:fill="auto"/>
        <w:spacing w:after="0" w:before="0" w:line="240" w:lineRule="auto"/>
        <w:ind w:right="20" w:firstLine="700" w:left="40"/>
        <w:rPr>
          <w:sz w:val="28"/>
          <w:szCs w:val="28"/>
        </w:rPr>
      </w:pPr>
      <w:r>
        <w:rPr>
          <w:rStyle w:val="940"/>
          <w:sz w:val="28"/>
          <w:szCs w:val="28"/>
        </w:rPr>
        <w:t xml:space="preserve">Сводные финансовые затраты по направлениям Программы представлены в приложении 3 к муниципальной программе.</w:t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7"/>
        <w:widowControl w:val="false"/>
        <w:numPr>
          <w:ilvl w:val="0"/>
          <w:numId w:val="2"/>
        </w:num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Анализ рисков реализации муниципальной программы и описание мер управления рисками реализации муниципальной программы</w:t>
      </w:r>
      <w:r>
        <w:rPr>
          <w:sz w:val="28"/>
          <w:szCs w:val="28"/>
        </w:rPr>
      </w:r>
    </w:p>
    <w:p>
      <w:pPr>
        <w:pStyle w:val="937"/>
        <w:widowControl w:val="false"/>
        <w:pBdr/>
        <w:spacing/>
        <w:ind w:left="45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7"/>
        <w:widowControl w:val="false"/>
        <w:pBdr/>
        <w:spacing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Важнейшим условием успешной реализации Программы является минимизация рисков, эффектный мониторинг выполнения намеченных мероприятий, принятие оперативных мер по корректировке показателей Программы. 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основным рискам реализации Программы относятся: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финансовые риски;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нормативные правовые риски;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экономические риски.</w:t>
      </w:r>
      <w:r>
        <w:rPr>
          <w:sz w:val="28"/>
          <w:szCs w:val="28"/>
        </w:rPr>
      </w:r>
    </w:p>
    <w:p>
      <w:pPr>
        <w:pStyle w:val="937"/>
        <w:pBdr/>
        <w:spacing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Финансовые риски 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из средств местного бюджета.</w:t>
      </w:r>
      <w:r>
        <w:rPr>
          <w:sz w:val="28"/>
          <w:szCs w:val="28"/>
        </w:rPr>
      </w:r>
    </w:p>
    <w:p>
      <w:pPr>
        <w:pStyle w:val="937"/>
        <w:pBdr/>
        <w:spacing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правовые риски связаны с изменением федерального и регионального законодательства, вследствие чего может возникнуть необходимость внесения соответствующих изменений в муниципальные правовые акты и в муниципальную программу.</w:t>
      </w:r>
      <w:r>
        <w:rPr>
          <w:sz w:val="28"/>
          <w:szCs w:val="28"/>
        </w:rPr>
      </w:r>
    </w:p>
    <w:p>
      <w:pPr>
        <w:pStyle w:val="937"/>
        <w:pBdr/>
        <w:spacing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Наступление указанных рисков повлияет на выполнение мероприятий Программы и может привести к недостижению целевых значений показателей (индикаторов) реализации Программы.</w:t>
      </w:r>
      <w:r>
        <w:rPr>
          <w:sz w:val="28"/>
          <w:szCs w:val="28"/>
        </w:rPr>
      </w:r>
    </w:p>
    <w:p>
      <w:pPr>
        <w:pStyle w:val="937"/>
        <w:pBdr/>
        <w:spacing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рисками предполагается осуществлять на основе постоянного мониторинга хода реализации Программы и оперативного внесения необходимых изменений. Экономические риски связаны с неисполнением договорных обязательств. </w:t>
      </w:r>
      <w:r>
        <w:rPr>
          <w:sz w:val="28"/>
          <w:szCs w:val="28"/>
        </w:rPr>
      </w:r>
    </w:p>
    <w:p>
      <w:pPr>
        <w:pStyle w:val="937"/>
        <w:widowControl w:val="false"/>
        <w:pBdr/>
        <w:spacing/>
        <w:ind w:left="45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7"/>
        <w:widowControl w:val="false"/>
        <w:numPr>
          <w:ilvl w:val="0"/>
          <w:numId w:val="2"/>
        </w:num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Механизм реализации муниципальной программы</w:t>
      </w:r>
      <w:r>
        <w:rPr>
          <w:sz w:val="28"/>
          <w:szCs w:val="28"/>
        </w:rPr>
      </w:r>
    </w:p>
    <w:p>
      <w:pPr>
        <w:pStyle w:val="937"/>
        <w:widowControl w:val="false"/>
        <w:pBdr/>
        <w:spacing/>
        <w:ind w:left="45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действующим законодательством контроль за реализацией мероприятий муниципальной программы осуществляет комитет по культуре</w:t>
      </w:r>
      <w:r>
        <w:rPr>
          <w:sz w:val="28"/>
          <w:szCs w:val="28"/>
        </w:rPr>
        <w:t xml:space="preserve"> Администрации г. Новоалтайска. Мониторинг реализации Программы осуществляется ежеквартально, объектом мониторинга является выполнение мероприятий Программы в установленные сроки, степень выполнения целевых индикаторов Программы, сведения о финансировании.</w:t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both"/>
        <w:rPr>
          <w:sz w:val="28"/>
          <w:szCs w:val="28"/>
        </w:rPr>
        <w:sectPr>
          <w:footnotePr/>
          <w:endnotePr/>
          <w:type w:val="nextPage"/>
          <w:pgSz w:h="16838" w:orient="portrait" w:w="11906"/>
          <w:pgMar w:top="567" w:right="707" w:bottom="567" w:left="1701" w:header="0" w:footer="3" w:gutter="0"/>
          <w:cols w:num="1" w:sep="0" w:space="720" w:equalWidth="1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9923"/>
        <w:rPr>
          <w:sz w:val="24"/>
          <w:szCs w:val="24"/>
        </w:rPr>
      </w:pPr>
      <w:r>
        <w:rPr>
          <w:sz w:val="24"/>
          <w:szCs w:val="24"/>
        </w:rPr>
        <w:t xml:space="preserve">Приложение 1</w:t>
      </w:r>
      <w:r>
        <w:rPr>
          <w:sz w:val="24"/>
          <w:szCs w:val="24"/>
        </w:rPr>
      </w:r>
    </w:p>
    <w:p>
      <w:pPr>
        <w:widowControl w:val="false"/>
        <w:pBdr/>
        <w:spacing/>
        <w:ind w:left="9923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«Развитие культуры в городе Новоалтайске на 2021-2025 годы»</w:t>
      </w:r>
      <w:r>
        <w:rPr>
          <w:sz w:val="24"/>
          <w:szCs w:val="24"/>
        </w:rPr>
      </w:r>
    </w:p>
    <w:p>
      <w:pPr>
        <w:widowControl w:val="false"/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индикаторов муниципальной программы</w:t>
      </w:r>
      <w:r>
        <w:rPr>
          <w:sz w:val="24"/>
          <w:szCs w:val="24"/>
        </w:rPr>
      </w:r>
    </w:p>
    <w:tbl>
      <w:tblPr>
        <w:tblStyle w:val="744"/>
        <w:tblpPr w:horzAnchor="margin" w:tblpX="-40" w:vertAnchor="page" w:tblpY="2191" w:leftFromText="180" w:topFromText="0" w:rightFromText="180" w:bottomFromText="0"/>
        <w:tblW w:w="0" w:type="auto"/>
        <w:tblInd w:w="0" w:type="dxa"/>
        <w:tblBorders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4A0" w:firstRow="1" w:lastRow="0" w:firstColumn="1" w:lastColumn="0" w:noHBand="0" w:noVBand="1"/>
      </w:tblPr>
      <w:tblGrid>
        <w:gridCol w:w="3969"/>
        <w:gridCol w:w="1236"/>
        <w:gridCol w:w="1275"/>
        <w:gridCol w:w="993"/>
        <w:gridCol w:w="992"/>
        <w:gridCol w:w="992"/>
        <w:gridCol w:w="1134"/>
        <w:gridCol w:w="1134"/>
        <w:gridCol w:w="3393"/>
        <w:gridCol w:w="14"/>
      </w:tblGrid>
      <w:tr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69" w:type="dxa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индикатора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(показателя)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36" w:type="dxa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измерения</w:t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08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целевого индикатора</w:t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  <w:trHeight w:val="50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69" w:type="dxa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36" w:type="dxa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5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Предыдущий период</w:t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/>
          </w:tcPr>
          <w:p>
            <w:pPr>
              <w:pBdr/>
              <w:spacing/>
              <w:ind w:right="113" w:left="113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 реализации муниципальной программы</w:t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 w:right="113" w:left="113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разбивкой по годам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388" w:type="dxa"/>
            <w:textDirection w:val="lrTb"/>
            <w:noWrap/>
          </w:tcPr>
          <w:p>
            <w:pPr>
              <w:pBdr/>
              <w:spacing/>
              <w:ind w:right="113" w:left="113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Ожидаемые результаты реализации Программы</w:t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69" w:type="dxa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36" w:type="dxa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5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8" w:type="dxa"/>
            <w:vAlign w:val="bottom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69" w:type="dxa"/>
            <w:textDirection w:val="lrTb"/>
            <w:noWrap/>
          </w:tcPr>
          <w:p>
            <w:pPr>
              <w:widowControl w:val="false"/>
              <w:pBdr/>
              <w:spacing/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36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5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8" w:type="dxa"/>
            <w:vAlign w:val="bottom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</w:trPr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5118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Программы: Развитие культуры в городе Новоалтайске</w:t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</w:trPr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5118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1. Обеспечение сохранности и использования объектов культурного наследия города</w:t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  <w:trHeight w:val="9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69" w:type="dxa"/>
            <w:textDirection w:val="lrTb"/>
            <w:noWrap/>
          </w:tcPr>
          <w:p>
            <w:pPr>
              <w:widowControl w:val="false"/>
              <w:pBdr/>
              <w:spacing/>
              <w:ind w:right="113"/>
              <w:jc w:val="both"/>
              <w:rPr>
                <w:b/>
                <w:sz w:val="24"/>
                <w:szCs w:val="24"/>
              </w:rPr>
            </w:pPr>
            <w:r>
              <w:rPr>
                <w:rStyle w:val="943"/>
                <w:b w:val="0"/>
                <w:sz w:val="24"/>
                <w:szCs w:val="24"/>
              </w:rPr>
              <w:t xml:space="preserve">1. Доля объектов культурного наследия, находящихся в удовлетворительном состоянии, в общем количестве объектов культурного наследия регионального значения на территории города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36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5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3388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both"/>
              <w:rPr>
                <w:b/>
                <w:sz w:val="24"/>
                <w:szCs w:val="24"/>
              </w:rPr>
            </w:pPr>
            <w:r>
              <w:rPr>
                <w:rStyle w:val="943"/>
                <w:b w:val="0"/>
                <w:sz w:val="24"/>
                <w:szCs w:val="24"/>
              </w:rPr>
              <w:t xml:space="preserve">Сохранение доли объектов культурного наследия, находящихся в удовлетворительном состоянии, в общем количестве объектов культурного наследия регионального значения на территории города до 100%</w:t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gridAfter w:val="1"/>
          <w:trHeight w:val="212"/>
        </w:trPr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5118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2. Повышение доступности и качества услуг и работ в сфере библиотечного дела</w:t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  <w:trHeight w:val="2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3969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02"/>
              <w:rPr>
                <w:b/>
                <w:sz w:val="24"/>
                <w:szCs w:val="24"/>
              </w:rPr>
            </w:pPr>
            <w:r>
              <w:rPr>
                <w:rStyle w:val="943"/>
                <w:b w:val="0"/>
                <w:sz w:val="24"/>
                <w:szCs w:val="24"/>
              </w:rPr>
              <w:t xml:space="preserve">2. Количество посещений библиотек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1236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единиц 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230,89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286,92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329,96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358,65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416,03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530,8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3388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contextualSpacing w:val="true"/>
              <w:jc w:val="both"/>
              <w:rPr>
                <w:b/>
                <w:sz w:val="24"/>
                <w:szCs w:val="24"/>
              </w:rPr>
            </w:pPr>
            <w:r>
              <w:rPr>
                <w:rStyle w:val="943"/>
                <w:b w:val="0"/>
                <w:sz w:val="24"/>
                <w:szCs w:val="24"/>
              </w:rPr>
              <w:t xml:space="preserve">Увеличение количества посещений библиотек до 530,8 тыс. единиц</w:t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gridAfter w:val="1"/>
          <w:trHeight w:val="2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3969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42"/>
              <w:jc w:val="both"/>
              <w:rPr>
                <w:rStyle w:val="943"/>
                <w:b w:val="0"/>
                <w:sz w:val="24"/>
                <w:szCs w:val="24"/>
              </w:rPr>
            </w:pPr>
            <w:r>
              <w:rPr>
                <w:rStyle w:val="943"/>
                <w:b w:val="0"/>
                <w:sz w:val="24"/>
                <w:szCs w:val="24"/>
              </w:rPr>
              <w:t xml:space="preserve">3. Количество книговыдач </w:t>
            </w:r>
            <w:r>
              <w:rPr>
                <w:rStyle w:val="943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1236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экз.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848,6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848,6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852,1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855,6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859,1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862,5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3388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количества книговыдач до 862,5 тыс. экземпляров</w:t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  <w:trHeight w:val="2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3969" w:type="dxa"/>
            <w:textDirection w:val="lrTb"/>
            <w:noWrap/>
          </w:tcPr>
          <w:p>
            <w:pPr>
              <w:pStyle w:val="944"/>
              <w:pBdr/>
              <w:spacing/>
              <w:ind w:right="113"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 Число обращений к цифровым ресурсам библиотек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1236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обращений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57,18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57,18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65,2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68,25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72,3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75,5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3388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 числа обращений к цифровым ресурсам библиотек до 75,5 тыс. обращений</w:t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  <w:trHeight w:val="234"/>
        </w:trPr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15118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3. Повышение доступности и качества музейных услуг и работ</w:t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  <w:trHeight w:val="2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3969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42"/>
              <w:jc w:val="both"/>
              <w:rPr>
                <w:b/>
                <w:sz w:val="24"/>
                <w:szCs w:val="24"/>
              </w:rPr>
            </w:pPr>
            <w:r>
              <w:rPr>
                <w:rStyle w:val="943"/>
                <w:b w:val="0"/>
                <w:sz w:val="24"/>
                <w:szCs w:val="24"/>
              </w:rPr>
              <w:t xml:space="preserve">5. Количество посещений музея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1236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единиц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12,5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3388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количества посещений музея до 13,0 тыс. посещений</w:t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  <w:trHeight w:val="5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 Доля представленных (во всех формах) зрителю музейных предметов в общем количестве музейных предметов основного фонда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6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8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доли представленных (во всех формах) зрителю музейных предметов в общем количестве музейных предметов основного фонда до 43%</w:t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</w:trPr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15118" w:type="dxa"/>
            <w:textDirection w:val="lrTb"/>
            <w:noWrap/>
          </w:tcPr>
          <w:p>
            <w:pPr>
              <w:pStyle w:val="944"/>
              <w:pBdr/>
              <w:spacing/>
              <w:ind w:right="113"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4. Создание условий для сохранения и развития коллективов самодеятельного творчества, а так же традиционной народной культуры</w:t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  <w:trHeight w:val="280"/>
        </w:trPr>
        <w:tc>
          <w:tcPr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69" w:type="dxa"/>
            <w:textDirection w:val="lrTb"/>
            <w:noWrap/>
          </w:tcPr>
          <w:p>
            <w:pPr>
              <w:widowControl w:val="false"/>
              <w:pBdr/>
              <w:spacing/>
              <w:ind w:right="113"/>
              <w:jc w:val="both"/>
              <w:rPr>
                <w:rStyle w:val="943"/>
                <w:b w:val="0"/>
                <w:sz w:val="24"/>
                <w:szCs w:val="24"/>
              </w:rPr>
            </w:pPr>
            <w:r>
              <w:rPr>
                <w:rStyle w:val="943"/>
                <w:b w:val="0"/>
                <w:sz w:val="24"/>
                <w:szCs w:val="24"/>
              </w:rPr>
              <w:t xml:space="preserve">7. Количество посещений культурно–массовых мероприятий в культурно-досуговых учреждениях</w:t>
            </w:r>
            <w:r>
              <w:rPr>
                <w:rStyle w:val="943"/>
                <w:b w:val="0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36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left="-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5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57,91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165,46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215,1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248,19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281,28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347,47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8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both"/>
              <w:rPr>
                <w:b/>
                <w:sz w:val="24"/>
                <w:szCs w:val="24"/>
              </w:rPr>
            </w:pPr>
            <w:r>
              <w:rPr>
                <w:rStyle w:val="943"/>
                <w:b w:val="0"/>
                <w:sz w:val="24"/>
                <w:szCs w:val="24"/>
              </w:rPr>
              <w:t xml:space="preserve">Увеличение количества посещений культурно-массовых мероприятий в культурно – досуговых учреждениях до 347,47 тыс. единиц</w:t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gridAfter w:val="1"/>
          <w:trHeight w:val="280"/>
        </w:trPr>
        <w:tc>
          <w:tcPr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69" w:type="dxa"/>
            <w:textDirection w:val="lrTb"/>
            <w:noWrap/>
          </w:tcPr>
          <w:p>
            <w:pPr>
              <w:widowControl w:val="false"/>
              <w:pBdr/>
              <w:spacing/>
              <w:ind w:right="113"/>
              <w:jc w:val="both"/>
              <w:rPr>
                <w:rStyle w:val="943"/>
                <w:b w:val="0"/>
                <w:sz w:val="24"/>
                <w:szCs w:val="24"/>
              </w:rPr>
            </w:pPr>
            <w:r>
              <w:rPr>
                <w:rStyle w:val="943"/>
                <w:b w:val="0"/>
                <w:sz w:val="24"/>
                <w:szCs w:val="24"/>
              </w:rPr>
              <w:t xml:space="preserve">8. Количество посещений культурно-досуговых учреждений на платной основе</w:t>
            </w:r>
            <w:r>
              <w:rPr>
                <w:rStyle w:val="943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36" w:type="dxa"/>
            <w:textDirection w:val="lrTb"/>
            <w:noWrap/>
          </w:tcPr>
          <w:p>
            <w:pPr>
              <w:widowControl w:val="false"/>
              <w:pBdr/>
              <w:spacing/>
              <w:ind w:hanging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hanging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hanging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hanging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5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54,69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57,07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59,45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63,16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67,92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67,93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8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both"/>
              <w:rPr>
                <w:rStyle w:val="943"/>
                <w:b w:val="0"/>
                <w:sz w:val="24"/>
                <w:szCs w:val="24"/>
              </w:rPr>
            </w:pPr>
            <w:r>
              <w:rPr>
                <w:rStyle w:val="943"/>
                <w:b w:val="0"/>
                <w:sz w:val="24"/>
                <w:szCs w:val="24"/>
              </w:rPr>
              <w:t xml:space="preserve">Увеличение количества посещений культурно-досуговых учреждений на платной основе до 67,93 тыс. единиц</w:t>
            </w:r>
            <w:r>
              <w:rPr>
                <w:rStyle w:val="943"/>
                <w:b w:val="0"/>
                <w:sz w:val="24"/>
                <w:szCs w:val="24"/>
              </w:rPr>
            </w:r>
          </w:p>
        </w:tc>
      </w:tr>
      <w:tr>
        <w:trPr>
          <w:gridAfter w:val="1"/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69" w:type="dxa"/>
            <w:textDirection w:val="lrTb"/>
            <w:noWrap/>
          </w:tcPr>
          <w:p>
            <w:pPr>
              <w:pStyle w:val="944"/>
              <w:pBdr/>
              <w:spacing/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 Число участников клубных формирований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36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5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1460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1460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1460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8" w:type="dxa"/>
            <w:textDirection w:val="lrTb"/>
            <w:noWrap/>
          </w:tcPr>
          <w:p>
            <w:pPr>
              <w:pStyle w:val="944"/>
              <w:pBdr/>
              <w:spacing/>
              <w:ind w:right="113"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 числа участников клубных формирований до 1460 человек</w:t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  <w:trHeight w:val="89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69" w:type="dxa"/>
            <w:textDirection w:val="lrTb"/>
            <w:noWrap/>
          </w:tcPr>
          <w:p>
            <w:pPr>
              <w:pStyle w:val="944"/>
              <w:pBdr/>
              <w:spacing/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 Обеспеченность населения местами в учреждениях культуры на 1000 человек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36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5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17,5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17,5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17,5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17,5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17,5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8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Сохранение уровня обеспеченности населения местами в учреждениях культуры на 1000 человек до 17,5 места</w:t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  <w:trHeight w:val="300"/>
        </w:trPr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5118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5. Модернизация художественного образования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69" w:type="dxa"/>
            <w:textDirection w:val="lrTb"/>
            <w:noWrap/>
          </w:tcPr>
          <w:p>
            <w:pPr>
              <w:pStyle w:val="760"/>
              <w:pBdr/>
              <w:shd w:val="clear" w:color="auto" w:fill="auto"/>
              <w:spacing w:after="0" w:before="0" w:line="240" w:lineRule="auto"/>
              <w:ind w:right="113" w:firstLine="0"/>
              <w:rPr>
                <w:rStyle w:val="943"/>
                <w:b w:val="0"/>
                <w:sz w:val="24"/>
                <w:szCs w:val="24"/>
              </w:rPr>
            </w:pPr>
            <w:r>
              <w:rPr>
                <w:rStyle w:val="943"/>
                <w:b w:val="0"/>
                <w:sz w:val="24"/>
                <w:szCs w:val="24"/>
              </w:rPr>
              <w:t xml:space="preserve">11. Число обучающихся в детских школах искусств</w:t>
            </w:r>
            <w:r>
              <w:rPr>
                <w:rStyle w:val="943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36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5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1554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1565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1587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1587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1587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3402" w:type="dxa"/>
            <w:textDirection w:val="lrTb"/>
            <w:noWrap/>
          </w:tcPr>
          <w:p>
            <w:pPr>
              <w:pStyle w:val="760"/>
              <w:pBdr/>
              <w:shd w:val="clear" w:color="auto" w:fill="auto"/>
              <w:spacing w:after="0" w:before="0" w:line="240" w:lineRule="auto"/>
              <w:ind w:right="113" w:firstLine="0" w:left="113"/>
              <w:rPr>
                <w:rStyle w:val="943"/>
                <w:b w:val="0"/>
                <w:sz w:val="24"/>
                <w:szCs w:val="24"/>
              </w:rPr>
            </w:pPr>
            <w:r>
              <w:rPr>
                <w:rStyle w:val="943"/>
                <w:b w:val="0"/>
                <w:sz w:val="24"/>
                <w:szCs w:val="24"/>
              </w:rPr>
              <w:t xml:space="preserve">Рост числа обучающихся в детских школах искусств до 1587 человек</w:t>
            </w:r>
            <w:r>
              <w:rPr>
                <w:rStyle w:val="943"/>
                <w:b w:val="0"/>
                <w:sz w:val="24"/>
                <w:szCs w:val="24"/>
              </w:rPr>
            </w:r>
          </w:p>
        </w:tc>
      </w:tr>
      <w:tr>
        <w:trPr>
          <w:trHeight w:val="126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69" w:type="dxa"/>
            <w:textDirection w:val="lrTb"/>
            <w:noWrap/>
          </w:tcPr>
          <w:p>
            <w:pPr>
              <w:pStyle w:val="760"/>
              <w:pBdr/>
              <w:shd w:val="clear" w:color="auto" w:fill="auto"/>
              <w:spacing w:after="0" w:before="0" w:line="240" w:lineRule="auto"/>
              <w:ind w:right="113" w:firstLine="0"/>
              <w:rPr>
                <w:rStyle w:val="943"/>
                <w:b w:val="0"/>
                <w:sz w:val="24"/>
                <w:szCs w:val="24"/>
              </w:rPr>
            </w:pPr>
            <w:r>
              <w:rPr>
                <w:rStyle w:val="943"/>
                <w:b w:val="0"/>
                <w:sz w:val="24"/>
                <w:szCs w:val="24"/>
              </w:rPr>
              <w:t xml:space="preserve">12. Доля обучающихся по дополнительным предпрофессиональным общеобразовательным программам в области искусства в детских школах искусств в общем количестве учащихся</w:t>
            </w:r>
            <w:r>
              <w:rPr>
                <w:rStyle w:val="943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36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5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52,6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52,8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55,1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3402" w:type="dxa"/>
            <w:textDirection w:val="lrTb"/>
            <w:noWrap/>
          </w:tcPr>
          <w:p>
            <w:pPr>
              <w:pStyle w:val="760"/>
              <w:pBdr/>
              <w:shd w:val="clear" w:color="auto" w:fill="auto"/>
              <w:spacing w:after="0" w:before="0" w:line="240" w:lineRule="auto"/>
              <w:ind w:right="113" w:firstLine="0" w:left="113"/>
              <w:rPr>
                <w:rStyle w:val="943"/>
                <w:b w:val="0"/>
                <w:sz w:val="24"/>
                <w:szCs w:val="24"/>
              </w:rPr>
            </w:pPr>
            <w:r>
              <w:rPr>
                <w:rStyle w:val="943"/>
                <w:b w:val="0"/>
                <w:sz w:val="24"/>
                <w:szCs w:val="24"/>
              </w:rPr>
              <w:t xml:space="preserve">Увеличение доли обучающихся по дополнительным предпрофессиональным программам в области искусства в детских школах искусств в общем количестве учащихся до 80%</w:t>
            </w:r>
            <w:r>
              <w:rPr>
                <w:rStyle w:val="943"/>
                <w:b w:val="0"/>
                <w:sz w:val="24"/>
                <w:szCs w:val="24"/>
              </w:rPr>
            </w:r>
          </w:p>
        </w:tc>
      </w:tr>
      <w:tr>
        <w:trPr>
          <w:trHeight w:val="396"/>
        </w:trPr>
        <w:tc>
          <w:tcPr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69" w:type="dxa"/>
            <w:textDirection w:val="lrTb"/>
            <w:noWrap/>
          </w:tcPr>
          <w:p>
            <w:pPr>
              <w:pStyle w:val="760"/>
              <w:pBdr/>
              <w:spacing w:after="0" w:before="0" w:line="240" w:lineRule="auto"/>
              <w:ind w:right="113" w:firstLine="0"/>
              <w:rPr>
                <w:rStyle w:val="94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 Доля лауреатов, дипломантов региональных, всероссийских и международных конкурсов от общего количества учащихся</w:t>
            </w:r>
            <w:r>
              <w:rPr>
                <w:rStyle w:val="943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36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5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3402" w:type="dxa"/>
            <w:textDirection w:val="lrTb"/>
            <w:noWrap/>
          </w:tcPr>
          <w:p>
            <w:pPr>
              <w:pStyle w:val="760"/>
              <w:pBdr/>
              <w:spacing w:after="0" w:before="0" w:line="240" w:lineRule="auto"/>
              <w:ind w:right="113" w:firstLine="0" w:left="113"/>
              <w:rPr>
                <w:rStyle w:val="94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доли лауреатов, дипломантов региональных, всероссийских и международных конкурсов от общего количества учащихся до 67%</w:t>
            </w:r>
            <w:r>
              <w:rPr>
                <w:rStyle w:val="943"/>
                <w:sz w:val="24"/>
                <w:szCs w:val="24"/>
              </w:rPr>
            </w:r>
          </w:p>
        </w:tc>
      </w:tr>
      <w:tr>
        <w:trPr>
          <w:trHeight w:val="396"/>
        </w:trPr>
        <w:tc>
          <w:tcPr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69" w:type="dxa"/>
            <w:textDirection w:val="lrTb"/>
            <w:noWrap/>
          </w:tcPr>
          <w:p>
            <w:pPr>
              <w:pStyle w:val="760"/>
              <w:pBdr/>
              <w:spacing w:after="0" w:before="0" w:line="240" w:lineRule="auto"/>
              <w:ind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 Количество посещений культурных мероприятий, проводимых детскими школами искусств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36" w:type="dxa"/>
            <w:textDirection w:val="lrTb"/>
            <w:noWrap/>
          </w:tcPr>
          <w:p>
            <w:pPr>
              <w:widowControl w:val="false"/>
              <w:pBdr/>
              <w:spacing/>
              <w:ind w:left="-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5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2,841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8,119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8,930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9,742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11,366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14,613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3402" w:type="dxa"/>
            <w:textDirection w:val="lrTb"/>
            <w:noWrap/>
          </w:tcPr>
          <w:p>
            <w:pPr>
              <w:pStyle w:val="760"/>
              <w:pBdr/>
              <w:spacing w:after="0" w:before="0" w:line="240" w:lineRule="auto"/>
              <w:ind w:right="113" w:firstLine="0"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числа посещений культурных мероприятий, проводимых детскими школами искусств до 14,613 тыс. единиц</w:t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  <w:trHeight w:val="218"/>
        </w:trPr>
        <w:tc>
          <w:tcPr>
            <w:gridSpan w:val="9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5118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6. Обеспечение процесса организации условий развития сферы культуры города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19"/>
        </w:trPr>
        <w:tc>
          <w:tcPr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69" w:type="dxa"/>
            <w:textDirection w:val="lrTb"/>
            <w:noWrap/>
          </w:tcPr>
          <w:p>
            <w:pPr>
              <w:pStyle w:val="760"/>
              <w:pBdr/>
              <w:spacing w:after="0" w:before="0" w:line="240" w:lineRule="auto"/>
              <w:ind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Число волонтеров культуры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36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5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 числа волонтеров культуры до 15 человек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74"/>
        </w:trPr>
        <w:tc>
          <w:tcPr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969" w:type="dxa"/>
            <w:textDirection w:val="lrTb"/>
            <w:noWrap/>
          </w:tcPr>
          <w:p>
            <w:pPr>
              <w:widowControl w:val="false"/>
              <w:pBdr/>
              <w:spacing/>
              <w:ind w:right="113"/>
              <w:jc w:val="both"/>
              <w:rPr>
                <w:rStyle w:val="943"/>
                <w:b w:val="0"/>
                <w:sz w:val="24"/>
                <w:szCs w:val="24"/>
              </w:rPr>
            </w:pPr>
            <w:r>
              <w:rPr>
                <w:rStyle w:val="943"/>
                <w:b w:val="0"/>
                <w:sz w:val="24"/>
                <w:szCs w:val="24"/>
              </w:rPr>
              <w:t xml:space="preserve">16. Количество посещений учреждений культуры (на 1 жителя в год)</w:t>
            </w:r>
            <w:r>
              <w:rPr>
                <w:rStyle w:val="943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36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5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3,87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3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4,74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5,37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5,81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6,65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7,38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3402" w:type="dxa"/>
            <w:textDirection w:val="lrTb"/>
            <w:noWrap/>
          </w:tcPr>
          <w:p>
            <w:pPr>
              <w:widowControl w:val="false"/>
              <w:pBdr/>
              <w:spacing/>
              <w:ind w:right="113" w:left="113"/>
              <w:contextualSpacing w:val="true"/>
              <w:jc w:val="both"/>
              <w:rPr>
                <w:b/>
                <w:sz w:val="24"/>
                <w:szCs w:val="24"/>
              </w:rPr>
            </w:pPr>
            <w:r>
              <w:rPr>
                <w:rStyle w:val="943"/>
                <w:b w:val="0"/>
                <w:sz w:val="24"/>
                <w:szCs w:val="24"/>
              </w:rPr>
              <w:t xml:space="preserve">Увеличение количества посещений учреждений культуры (на 1 жителя в год) до 7,38 единиц</w:t>
            </w:r>
            <w:r>
              <w:rPr>
                <w:b/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  <w:sectPr>
          <w:headerReference w:type="default" r:id="rId9"/>
          <w:headerReference w:type="first" r:id="rId10"/>
          <w:footerReference w:type="default" r:id="rId13"/>
          <w:footerReference w:type="even" r:id="rId14"/>
          <w:footnotePr/>
          <w:endnotePr/>
          <w:type w:val="nextPage"/>
          <w:pgSz w:h="11905" w:orient="landscape" w:w="16838"/>
          <w:pgMar w:top="284" w:right="539" w:bottom="284" w:left="1134" w:header="284" w:footer="284" w:gutter="0"/>
          <w:cols w:num="1" w:sep="0" w:space="720" w:equalWidth="1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74"/>
        <w:tblpPr w:horzAnchor="margin" w:tblpXSpec="right" w:vertAnchor="text" w:tblpY="-137" w:leftFromText="180" w:topFromText="0" w:rightFromText="180" w:bottomFromText="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87"/>
      </w:tblGrid>
      <w:tr>
        <w:trPr/>
        <w:tc>
          <w:tcPr>
            <w:tcBorders/>
            <w:tcW w:w="538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/>
            <w:bookmarkStart w:id="2" w:name="Par355"/>
            <w:r/>
            <w:bookmarkEnd w:id="2"/>
            <w:r>
              <w:rPr>
                <w:sz w:val="24"/>
                <w:szCs w:val="24"/>
              </w:rPr>
              <w:t xml:space="preserve">Приложение 2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муниципальной программе «Развитие культуры в городе Новоалтайске на 2021-2025 годы»</w:t>
            </w:r>
            <w:r>
              <w:rPr>
                <w:sz w:val="24"/>
                <w:szCs w:val="24"/>
              </w:rPr>
            </w:r>
          </w:p>
        </w:tc>
      </w:tr>
    </w:tbl>
    <w:p>
      <w:pPr>
        <w:widowControl w:val="false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мероприятий муниципальной программы</w:t>
      </w:r>
      <w:r>
        <w:rPr>
          <w:sz w:val="24"/>
          <w:szCs w:val="24"/>
        </w:rPr>
      </w:r>
    </w:p>
    <w:p>
      <w:pPr>
        <w:widowControl w:val="false"/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«Развитие культуры в городе Новоалтайске на 2021-2025 годы»</w:t>
      </w:r>
      <w:r>
        <w:rPr>
          <w:sz w:val="24"/>
          <w:szCs w:val="24"/>
        </w:rPr>
      </w:r>
    </w:p>
    <w:tbl>
      <w:tblPr>
        <w:tblStyle w:val="744"/>
        <w:tblW w:w="15452" w:type="dxa"/>
        <w:tblInd w:w="-182" w:type="dxa"/>
        <w:tblBorders/>
        <w:tblLayout w:type="fixed"/>
        <w:tblCellMar>
          <w:left w:w="0" w:type="dxa"/>
          <w:top w:w="28" w:type="dxa"/>
          <w:right w:w="0" w:type="dxa"/>
          <w:bottom w:w="28" w:type="dxa"/>
        </w:tblCellMar>
        <w:tblLook w:val="04A0" w:firstRow="1" w:lastRow="0" w:firstColumn="1" w:lastColumn="0" w:noHBand="0" w:noVBand="1"/>
      </w:tblPr>
      <w:tblGrid>
        <w:gridCol w:w="568"/>
        <w:gridCol w:w="3118"/>
        <w:gridCol w:w="851"/>
        <w:gridCol w:w="1701"/>
        <w:gridCol w:w="1134"/>
        <w:gridCol w:w="1134"/>
        <w:gridCol w:w="1134"/>
        <w:gridCol w:w="1134"/>
        <w:gridCol w:w="1276"/>
        <w:gridCol w:w="1263"/>
        <w:gridCol w:w="7"/>
        <w:gridCol w:w="8"/>
        <w:gridCol w:w="26"/>
        <w:gridCol w:w="2098"/>
      </w:tblGrid>
      <w:tr>
        <w:trPr>
          <w:cantSplit/>
          <w:trHeight w:val="14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п/п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Цель, задача, мероприятие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реализации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исполнитель, участники</w:t>
            </w:r>
            <w:r>
              <w:rPr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711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расходов, тыс.рублей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98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финансирования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14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8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2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259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92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restart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 1. 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 культуры в городе Новоалтайске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 годы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культуре, учреждения культуры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136845,2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150557,0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196691,8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226335,3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223780,6</w:t>
            </w:r>
            <w:r>
              <w:rPr>
                <w:color w:val="000000"/>
                <w:sz w:val="23"/>
                <w:szCs w:val="23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934209,9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40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continue"/>
            <w:textDirection w:val="lrTb"/>
            <w:noWrap/>
          </w:tcPr>
          <w:p>
            <w:pPr>
              <w:pBdr/>
              <w:spacing/>
              <w:ind w:right="57" w:left="57"/>
              <w:contextualSpacing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continue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continue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9350,0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4568,4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13918,4</w:t>
            </w:r>
            <w:r>
              <w:rPr>
                <w:color w:val="ff0000"/>
                <w:sz w:val="24"/>
                <w:szCs w:val="24"/>
                <w:lang w:val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continue"/>
            <w:textDirection w:val="lrTb"/>
            <w:noWrap/>
          </w:tcPr>
          <w:p>
            <w:pPr>
              <w:pBdr/>
              <w:spacing/>
              <w:ind w:right="57" w:left="57"/>
              <w:contextualSpacing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continue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continue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494,0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46,1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540,1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Краевой бюджет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77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continue"/>
            <w:textDirection w:val="lrTb"/>
            <w:noWrap/>
          </w:tcPr>
          <w:p>
            <w:pPr>
              <w:pBdr/>
              <w:spacing/>
              <w:ind w:right="57" w:left="57"/>
              <w:contextualSpacing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continue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continue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136845,2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150557,0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186847,8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221720,8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223780,6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919751,4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76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 1. </w:t>
            </w:r>
            <w:r>
              <w:rPr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Обеспечение сохранности и использования объектов культурного наследия города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</w:t>
            </w:r>
            <w:r>
              <w:rPr>
                <w:sz w:val="24"/>
                <w:szCs w:val="24"/>
                <w:lang w:val="en-US"/>
              </w:rPr>
              <w:t xml:space="preserve">5</w:t>
            </w:r>
            <w:r>
              <w:rPr>
                <w:sz w:val="24"/>
                <w:szCs w:val="24"/>
              </w:rPr>
              <w:t xml:space="preserve"> годы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«КДЦ»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395,6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841,0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22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 1.1. 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объектов культурного наследия и прилегающих территорий в удовлетворительном состоянии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</w:t>
            </w:r>
            <w:r>
              <w:rPr>
                <w:sz w:val="24"/>
                <w:szCs w:val="24"/>
                <w:lang w:val="en-US"/>
              </w:rPr>
              <w:t xml:space="preserve">5</w:t>
            </w:r>
            <w:r>
              <w:rPr>
                <w:sz w:val="24"/>
                <w:szCs w:val="24"/>
              </w:rPr>
              <w:t xml:space="preserve"> годы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«КДЦ»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126,4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22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 1.</w:t>
            </w:r>
            <w:r>
              <w:rPr>
                <w:sz w:val="24"/>
                <w:szCs w:val="24"/>
              </w:rPr>
              <w:t xml:space="preserve">2. Проведение работ по сохранению объектов культурного наследия регионального значения «Памятник воинам-Новоалтайцам, погибшим в годы Великой Отечественной войны (1941-1945)», «Стела «Воинам – Новоалтайцам», погибшим в годы Великой Отечественной войны (194</w:t>
            </w:r>
            <w:r>
              <w:rPr>
                <w:sz w:val="24"/>
                <w:szCs w:val="24"/>
              </w:rPr>
              <w:t xml:space="preserve">1-1945)»   (прохождение историко-культурной экспертизы по сохранению объекта культурного наследия при проведении земляных работ, разработка научно-проектной документации на ремонтные работы объектов культурного наследия, корректировка сметной документации)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«КДЦ»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369,0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369,0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22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Мероприятие 1.3.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Охрана объектов культурного наследия в период празднования юбилея победы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2025 год</w:t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Комитет по культуре МБУК «КДЦ»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345,6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345,6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городского округа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cantSplit/>
          <w:trHeight w:val="303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restart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restart"/>
            <w:textDirection w:val="lrTb"/>
            <w:noWrap/>
          </w:tcPr>
          <w:p>
            <w:pPr>
              <w:keepNext w:val="true"/>
              <w:widowControl w:val="false"/>
              <w:pBdr/>
              <w:spacing w:after="100" w:afterAutospacing="1" w:before="100" w:beforeAutospacing="1" w:line="240" w:lineRule="atLeast"/>
              <w:ind w:right="57" w:left="57"/>
              <w:contextualSpacing w:val="tru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 2 </w:t>
            </w:r>
            <w:r>
              <w:rPr>
                <w:b/>
                <w:sz w:val="24"/>
                <w:szCs w:val="24"/>
              </w:rPr>
            </w:r>
          </w:p>
          <w:p>
            <w:pPr>
              <w:keepNext w:val="true"/>
              <w:widowControl w:val="false"/>
              <w:pBdr/>
              <w:spacing w:after="100" w:afterAutospacing="1" w:before="100" w:beforeAutospacing="1" w:line="240" w:lineRule="atLeast"/>
              <w:ind w:right="57" w:left="57"/>
              <w:contextualSpacing w:val="tru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Повышение доступности и качества услуг и работ в сфере библиотечного дела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restart"/>
            <w:textDirection w:val="lrTb"/>
            <w:noWrap/>
          </w:tcPr>
          <w:p>
            <w:pPr>
              <w:keepNext w:val="true"/>
              <w:widowControl w:val="false"/>
              <w:pBdr/>
              <w:spacing w:after="100" w:afterAutospacing="1" w:before="100" w:beforeAutospacing="1"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 годы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restart"/>
            <w:textDirection w:val="lrTb"/>
            <w:noWrap/>
          </w:tcPr>
          <w:p>
            <w:pPr>
              <w:keepNext w:val="true"/>
              <w:widowControl w:val="false"/>
              <w:pBdr/>
              <w:spacing w:after="100" w:afterAutospacing="1" w:before="100" w:beforeAutospacing="1"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«ЦГБ»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keepNext w:val="true"/>
              <w:widowControl w:val="false"/>
              <w:pBdr/>
              <w:spacing w:after="100" w:afterAutospacing="1" w:before="100" w:beforeAutospacing="1"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28709,0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keepNext w:val="true"/>
              <w:widowControl w:val="false"/>
              <w:pBdr/>
              <w:spacing w:after="100" w:afterAutospacing="1" w:before="100" w:beforeAutospacing="1"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30194,1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keepNext w:val="true"/>
              <w:widowControl w:val="false"/>
              <w:pBdr/>
              <w:spacing w:after="100" w:afterAutospacing="1" w:before="100" w:beforeAutospacing="1"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44058,7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keepNext w:val="true"/>
              <w:widowControl w:val="false"/>
              <w:pBdr/>
              <w:spacing w:after="100" w:afterAutospacing="1" w:before="100" w:beforeAutospacing="1"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44640,9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keepNext w:val="true"/>
              <w:widowControl w:val="false"/>
              <w:pBdr/>
              <w:spacing w:after="100" w:afterAutospacing="1" w:before="100" w:beforeAutospacing="1"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43986,5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keepNext w:val="true"/>
              <w:widowControl w:val="false"/>
              <w:pBdr/>
              <w:spacing w:after="100" w:afterAutospacing="1" w:before="100" w:beforeAutospacing="1"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191589,2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keepNext w:val="true"/>
              <w:pBdr/>
              <w:spacing w:after="100" w:afterAutospacing="1" w:before="100" w:beforeAutospacing="1"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continue"/>
            <w:textDirection w:val="lrTb"/>
            <w:noWrap/>
          </w:tcPr>
          <w:p>
            <w:pPr>
              <w:keepNext w:val="true"/>
              <w:pBdr/>
              <w:spacing w:after="100" w:afterAutospacing="1" w:before="100" w:beforeAutospacing="1" w:line="240" w:lineRule="atLeast"/>
              <w:ind w:right="57" w:left="57"/>
              <w:contextualSpacing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continue"/>
            <w:textDirection w:val="lrTb"/>
            <w:noWrap/>
          </w:tcPr>
          <w:p>
            <w:pPr>
              <w:keepNext w:val="true"/>
              <w:pBdr/>
              <w:spacing w:after="100" w:afterAutospacing="1" w:before="100" w:beforeAutospacing="1" w:line="240" w:lineRule="atLeast"/>
              <w:ind w:right="11" w:left="11"/>
              <w:contextualSpacing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continue"/>
            <w:textDirection w:val="lrTb"/>
            <w:noWrap/>
          </w:tcPr>
          <w:p>
            <w:pPr>
              <w:keepNext w:val="true"/>
              <w:pBdr/>
              <w:spacing w:after="100" w:afterAutospacing="1" w:before="100" w:beforeAutospacing="1" w:line="240" w:lineRule="atLeast"/>
              <w:ind w:right="11" w:left="11"/>
              <w:contextualSpacing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keepNext w:val="true"/>
              <w:widowControl w:val="false"/>
              <w:pBdr/>
              <w:spacing w:after="100" w:afterAutospacing="1" w:before="100" w:beforeAutospacing="1"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keepNext w:val="true"/>
              <w:widowControl w:val="false"/>
              <w:pBdr/>
              <w:spacing w:after="100" w:afterAutospacing="1" w:before="100" w:beforeAutospacing="1"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keepNext w:val="true"/>
              <w:widowControl w:val="false"/>
              <w:pBdr/>
              <w:spacing w:after="100" w:afterAutospacing="1" w:before="100" w:beforeAutospacing="1"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5000,0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keepNext w:val="true"/>
              <w:widowControl w:val="false"/>
              <w:pBdr/>
              <w:spacing w:after="100" w:afterAutospacing="1" w:before="100" w:beforeAutospacing="1"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keepNext w:val="true"/>
              <w:widowControl w:val="false"/>
              <w:pBdr/>
              <w:spacing w:after="100" w:afterAutospacing="1" w:before="100" w:beforeAutospacing="1"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keepNext w:val="true"/>
              <w:widowControl w:val="false"/>
              <w:pBdr/>
              <w:spacing w:after="100" w:afterAutospacing="1" w:before="100" w:beforeAutospacing="1"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6000,0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keepNext w:val="true"/>
              <w:pBdr/>
              <w:spacing w:after="100" w:afterAutospacing="1" w:before="100" w:beforeAutospacing="1"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continue"/>
            <w:textDirection w:val="lrTb"/>
            <w:noWrap/>
          </w:tcPr>
          <w:p>
            <w:pPr>
              <w:keepNext w:val="true"/>
              <w:pBdr/>
              <w:spacing w:after="100" w:afterAutospacing="1" w:before="100" w:beforeAutospacing="1" w:line="240" w:lineRule="atLeast"/>
              <w:ind w:right="57" w:left="57"/>
              <w:contextualSpacing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continue"/>
            <w:textDirection w:val="lrTb"/>
            <w:noWrap/>
          </w:tcPr>
          <w:p>
            <w:pPr>
              <w:keepNext w:val="true"/>
              <w:pBdr/>
              <w:spacing w:after="100" w:afterAutospacing="1" w:before="100" w:beforeAutospacing="1" w:line="240" w:lineRule="atLeast"/>
              <w:ind w:right="11" w:left="11"/>
              <w:contextualSpacing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continue"/>
            <w:textDirection w:val="lrTb"/>
            <w:noWrap/>
          </w:tcPr>
          <w:p>
            <w:pPr>
              <w:keepNext w:val="true"/>
              <w:pBdr/>
              <w:spacing w:after="100" w:afterAutospacing="1" w:before="100" w:beforeAutospacing="1" w:line="240" w:lineRule="atLeast"/>
              <w:ind w:right="11" w:left="11"/>
              <w:contextualSpacing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keepNext w:val="true"/>
              <w:widowControl w:val="false"/>
              <w:pBdr/>
              <w:spacing w:after="100" w:afterAutospacing="1" w:before="100" w:beforeAutospacing="1"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keepNext w:val="true"/>
              <w:widowControl w:val="false"/>
              <w:pBdr/>
              <w:spacing w:after="100" w:afterAutospacing="1" w:before="100" w:beforeAutospacing="1"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keepNext w:val="true"/>
              <w:widowControl w:val="false"/>
              <w:pBdr/>
              <w:spacing w:after="100" w:afterAutospacing="1" w:before="100" w:beforeAutospacing="1"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keepNext w:val="true"/>
              <w:widowControl w:val="false"/>
              <w:pBdr/>
              <w:spacing w:after="100" w:afterAutospacing="1" w:before="100" w:beforeAutospacing="1"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keepNext w:val="true"/>
              <w:widowControl w:val="false"/>
              <w:pBdr/>
              <w:spacing w:after="100" w:afterAutospacing="1" w:before="100" w:beforeAutospacing="1"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keepNext w:val="true"/>
              <w:widowControl w:val="false"/>
              <w:pBdr/>
              <w:spacing w:after="100" w:afterAutospacing="1" w:before="100" w:beforeAutospacing="1"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10,1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keepNext w:val="true"/>
              <w:pBdr/>
              <w:spacing w:after="100" w:afterAutospacing="1" w:before="100" w:beforeAutospacing="1"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Краевой бюджет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continue"/>
            <w:textDirection w:val="lrTb"/>
            <w:noWrap/>
          </w:tcPr>
          <w:p>
            <w:pPr>
              <w:keepNext w:val="true"/>
              <w:pBdr/>
              <w:spacing w:after="100" w:afterAutospacing="1" w:before="100" w:beforeAutospacing="1" w:line="240" w:lineRule="atLeast"/>
              <w:ind w:right="57" w:left="57"/>
              <w:contextualSpacing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continue"/>
            <w:textDirection w:val="lrTb"/>
            <w:noWrap/>
          </w:tcPr>
          <w:p>
            <w:pPr>
              <w:keepNext w:val="true"/>
              <w:pBdr/>
              <w:spacing w:after="100" w:afterAutospacing="1" w:before="100" w:beforeAutospacing="1" w:line="240" w:lineRule="atLeast"/>
              <w:ind w:right="11" w:left="11"/>
              <w:contextualSpacing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continue"/>
            <w:textDirection w:val="lrTb"/>
            <w:noWrap/>
          </w:tcPr>
          <w:p>
            <w:pPr>
              <w:keepNext w:val="true"/>
              <w:pBdr/>
              <w:spacing w:after="100" w:afterAutospacing="1" w:before="100" w:beforeAutospacing="1" w:line="240" w:lineRule="atLeast"/>
              <w:ind w:right="11" w:left="11"/>
              <w:contextualSpacing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keepNext w:val="true"/>
              <w:widowControl w:val="false"/>
              <w:pBdr/>
              <w:spacing w:after="100" w:afterAutospacing="1" w:before="100" w:beforeAutospacing="1"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28709,0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keepNext w:val="true"/>
              <w:widowControl w:val="false"/>
              <w:pBdr/>
              <w:spacing w:after="100" w:afterAutospacing="1" w:before="100" w:beforeAutospacing="1"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30194,1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keepNext w:val="true"/>
              <w:widowControl w:val="false"/>
              <w:pBdr/>
              <w:spacing w:after="100" w:afterAutospacing="1" w:before="100" w:beforeAutospacing="1"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39058,7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keepNext w:val="true"/>
              <w:widowControl w:val="false"/>
              <w:pBdr/>
              <w:spacing w:after="100" w:afterAutospacing="1" w:before="100" w:beforeAutospacing="1"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43630,8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keepNext w:val="true"/>
              <w:widowControl w:val="false"/>
              <w:pBdr/>
              <w:spacing w:after="100" w:afterAutospacing="1" w:before="100" w:beforeAutospacing="1"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43986,5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keepNext w:val="true"/>
              <w:widowControl w:val="false"/>
              <w:pBdr/>
              <w:spacing w:after="100" w:afterAutospacing="1" w:before="100" w:beforeAutospacing="1"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185579,1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keepNext w:val="true"/>
              <w:pBdr/>
              <w:spacing w:after="100" w:afterAutospacing="1" w:before="100" w:beforeAutospacing="1"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1356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 2.1. Формирование и комплектование книжного фонда документов, документов аудио - визуальных материалов, электронных документов, фонда периодических изданий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 годы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«ЦГБ»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1310,0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1180,0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2120,3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1896,5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1560,0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8066,8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6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 2.2. Укрепление материально – технической базы сети библиотек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2021-2024 годы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«ЦГБ»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274,3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3313,0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103,6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3890,9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62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 2.3. Организация и проведение ежегодных библиотечных мероприятий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</w:t>
            </w:r>
            <w:r>
              <w:rPr>
                <w:sz w:val="24"/>
                <w:szCs w:val="24"/>
                <w:lang w:val="en-US"/>
              </w:rPr>
              <w:t xml:space="preserve">5 </w:t>
            </w:r>
            <w:r>
              <w:rPr>
                <w:sz w:val="24"/>
                <w:szCs w:val="24"/>
              </w:rPr>
              <w:t xml:space="preserve">годы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«ЦГБ»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105,3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145,0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250,0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820,3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87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 2.4. Модернизация библиотеки-филиала №3 (ул. 40 лет ВЛКСМ, 4) в рамках национального проекта «Культура»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«ЦГБ»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5000,0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93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 2.5. Обеспечение деятельности сети библиотек по библиотечно-информационному обслуживанию населения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 годы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«ЦГБ»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27019,4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28634,1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33480,4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40838,8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41826,5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171799,2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307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restart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 2.6. Организация виртуального концертного зала на базе Центральной городской модельной библиотеки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«ЦГБ»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1499,0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1499,0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538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1000,0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435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10,1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Краевой бюджет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25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488,9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488,9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254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 2.7. Оборудование объектов системами экстренного оповещения работников и посетителей объектов о потенциальной угрозе возникновения или о возникновении чрезвычайной ситуации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2024-202</w:t>
            </w:r>
            <w:r>
              <w:rPr>
                <w:sz w:val="24"/>
                <w:szCs w:val="24"/>
                <w:lang w:val="en-US"/>
              </w:rPr>
              <w:t xml:space="preserve">5</w:t>
            </w:r>
            <w:r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«ЦГБ»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b2b2b2" w:sz="4" w:space="0"/>
              <w:bottom w:val="single" w:color="auto" w:sz="4" w:space="0"/>
              <w:right w:val="single" w:color="b2b2b2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163,0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b2b2b2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350,0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513,0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29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restart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 3. </w:t>
            </w:r>
            <w:r>
              <w:rPr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Повышение доступности и качества музейных услуг и работ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 годы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«НКМ»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3827,9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4481,8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10988,5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5395,9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5748,9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30443,0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2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4350,0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4350,0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115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Краевой бюджет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121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3827,9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4481,8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6594,5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5395,9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5748,9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26049,0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6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 3.1. Укрепление материально – технической базы музея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2021-2023 годы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«НКМ»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2150,2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2390,2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65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 3.2. Обеспечение деятельности музея по оказанию услуг населению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 годы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«НКМ»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3787,9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4281,8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4444,3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5295,9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5748,9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23558,8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319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restart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 3.3. Техническое оснащение музея в рамках национального проекта «Культура»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«НКМ»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4394,0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4394,0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319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4350,0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4350,0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319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Краевой бюджет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31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 3.4. Оборудование объектов системами экстренного оповещения работников и посетителей объектов о потенциальной угрозе возникновения или о возникновении чрезвычайной ситуации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«НКМ»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30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restart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57" w:left="57"/>
              <w:contextualSpacing w:val="tru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 4. </w:t>
            </w:r>
            <w:r>
              <w:rPr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line="240" w:lineRule="atLeast"/>
              <w:ind w:right="57" w:left="57"/>
              <w:contextualSpacing w:val="tru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Создание условий для сохранения и развития коллективов самодеятельного творчества, а также традиционной народной культуры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«КДЦ»,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«ГЦК»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45981,5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51017,2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69403,9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83346,0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91235,1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340983,7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24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57" w:left="57"/>
              <w:contextualSpacing w:val="tru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textDirection w:val="lrTb"/>
            <w:noWrap/>
          </w:tcPr>
          <w:p>
            <w:pPr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180,0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Краевой бюджет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61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57" w:left="57"/>
              <w:contextualSpacing w:val="tru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45981,5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51017,2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69223,9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83346,0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91235,1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340803,7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196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 4.1. 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 w:line="240" w:lineRule="atLeast"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гастрольных поездок коллективов самодеятельного творчества, участие в фестивалях, конкурсах различного уровня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«КДЦ»,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«ГЦК»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210,4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590,4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29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 4.2. Проведение фестивалей, дней национальных культур, выставок традиционного национального искусства, в том числе с привлечением мастеров-ремесленников и мастеров народно-художественных промыслов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2021, 2022, 2024 годы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«КДЦ»,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«ГЦК»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290,0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293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restart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 4.3. Укрепление материально – технической базы культурно-досуговых учреждений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</w:t>
            </w:r>
            <w:r>
              <w:rPr>
                <w:sz w:val="24"/>
                <w:szCs w:val="24"/>
                <w:lang w:val="en-US"/>
              </w:rPr>
              <w:t xml:space="preserve">5</w:t>
            </w:r>
            <w:r>
              <w:rPr>
                <w:sz w:val="24"/>
                <w:szCs w:val="24"/>
              </w:rPr>
              <w:t xml:space="preserve"> годы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«КДЦ»,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«ГЦК»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198,0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284,5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1250,0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7600,0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9902,5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526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180,0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Краевой бюджет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5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198,0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104,5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1250,0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7600,0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0" w:type="dxa"/>
            <w:vAlign w:val="center"/>
            <w:textDirection w:val="lrTb"/>
            <w:noWrap/>
          </w:tcPr>
          <w:p>
            <w:pPr>
              <w:widowControl w:val="false"/>
              <w:pBdr/>
              <w:spacing w:line="240" w:lineRule="atLeast"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9722,5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2" w:type="dxa"/>
            <w:vAlign w:val="center"/>
            <w:textDirection w:val="lrTb"/>
            <w:noWrap/>
          </w:tcPr>
          <w:p>
            <w:pPr>
              <w:pBdr/>
              <w:spacing w:line="240" w:lineRule="atLeast"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149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 4.4.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Обеспечение деятельности культурно-досуговых учреждений по развитию самодеятельного творчества, традиционной культуры и досуга населения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 годы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«КДЦ»,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«ГЦК»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45271,5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49318,3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68449,4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81846,0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83424,7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3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328309,9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9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1359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 4.5. 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инструментального обследования объекта МБУК «Городской центр культуры «Современник» на предмет определения технического состояния строительных конструкций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«ГЦК»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3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400,0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9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 4.6. 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Оснащение тактильной информацией здания Культурно-спортивного комплекса в Белоярском микрорайоне по адресу ул. Республики, 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«ГЦК»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330,9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3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330,9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9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 4.7. 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Оснащение нового объекта «Культурно-спортивный комплекс» Белоярского микрорайона по адресу ул. Республики, 4 (приобретение основных средств, информационных стендов, табличек и др.)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МБК «ГЦК»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3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560,0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9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 4.8.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Строительство детской игровой площадки на земельном участке МБУК ГЦК «Современник» «Культурно-спортивный комплекс» Белоярского микрорайона по адресу ул. Республики, 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МБК «ГЦК»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3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9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324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restart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 5. </w:t>
            </w:r>
            <w:r>
              <w:rPr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Модернизация художественного образования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 годы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ДШИ № 1,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ДШИ № 2,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ДШИ № 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56766,4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61552,3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70620,7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90954,5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79544,5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3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359438,4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9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413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3568,4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3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3568,4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9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412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3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306,0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9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Краевой бюджет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73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56766,4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61552,3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70350,7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87350,1</w:t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79544,5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3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355564,0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9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2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restart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5.1.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Укрепление материально – технической базы детских школ искусств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2021-2024 годы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ДШИ № 1,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ДШИ № 2,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ДШИ № 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248,5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600,4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3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1218,9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9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3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3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270,0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9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Краевой бюджет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2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248,5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600,4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3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948,9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9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12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 5.2. 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деятельности школ искусств по оказанию населению образовательных услуг в сфере культуры и искусства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 годы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ДШИ № 1,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ДШИ № 2,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ДШИ № 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56666,4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61303,8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70350,7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85874,1</w:t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79413,5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3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353608,5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9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188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restart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 5.3 Изготовление и поставка музыкальных инструментов в рамках национального проекта «Культура»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ДШИ № 1,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ДШИ № 2,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ДШИ № 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4480,0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3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4480,0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9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478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3568,4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3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3568,4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9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218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3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9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Краевой бюджет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69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875,6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3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875,6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9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18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/>
            <w:bookmarkStart w:id="3" w:name="_Hlk191285645"/>
            <w:r>
              <w:rPr>
                <w:sz w:val="24"/>
                <w:szCs w:val="24"/>
              </w:rPr>
              <w:t xml:space="preserve">Мероприятие 5.4 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color w:val="590000"/>
                <w:sz w:val="24"/>
                <w:szCs w:val="24"/>
              </w:rPr>
              <w:t xml:space="preserve">Организация пропускного режима</w:t>
            </w:r>
            <w:bookmarkEnd w:id="3"/>
            <w:r/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ДШИ № 1,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ДШИ № 2,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ДШИ № 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131,0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3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131,0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9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2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 6.</w:t>
            </w:r>
            <w:r>
              <w:rPr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Обеспечение процесса организации условий развития сферы культуры города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 годы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культуре,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«КДЦ»,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«ГЦК»,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«НКМ»,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«ЦГБ»,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ДШИ № 1,2,3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1530,0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2921,6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1595,0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1998,0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2870,0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3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10914,6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9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2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/>
            <w:bookmarkStart w:id="4" w:name="_Hlk191285684"/>
            <w:r>
              <w:rPr>
                <w:sz w:val="24"/>
                <w:szCs w:val="24"/>
              </w:rPr>
              <w:t xml:space="preserve">Мероприятие 6.1. 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Укрепление материально – технической базы комитета по культуре, ремонт автотранспорта</w:t>
            </w:r>
            <w:bookmarkEnd w:id="4"/>
            <w:r/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 годы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3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710,0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9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177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textDirection w:val="lrTb"/>
            <w:noWrap/>
          </w:tcPr>
          <w:p>
            <w:pPr>
              <w:pStyle w:val="937"/>
              <w:numPr>
                <w:ilvl w:val="0"/>
                <w:numId w:val="3"/>
              </w:num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8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/>
            <w:bookmarkStart w:id="5" w:name="_Hlk191285718"/>
            <w:r>
              <w:rPr>
                <w:sz w:val="24"/>
                <w:szCs w:val="24"/>
              </w:rPr>
              <w:t xml:space="preserve">Мероприятие 6.2. 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57" w:left="57"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проведение выставок, конкурсов, фестивалей, в т.ч. по линии международного муниципального сотрудничества, ярмарок, волонтерских акций и других общегородских мероприятий в области культуры</w:t>
            </w:r>
            <w:bookmarkEnd w:id="5"/>
            <w:r/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85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 годы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01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культуре,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«КДЦ»,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«ГЦК»,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«НКМ»,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«ЦГБ»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1430,0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2791,6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1365,0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1898,0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2720,0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3" w:type="dxa"/>
            <w:vAlign w:val="center"/>
            <w:textDirection w:val="lrTb"/>
            <w:noWrap/>
          </w:tcPr>
          <w:p>
            <w:pPr>
              <w:pBdr/>
              <w:spacing/>
              <w:ind w:right="28" w:left="28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10204,6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139" w:type="dxa"/>
            <w:vAlign w:val="center"/>
            <w:textDirection w:val="lrTb"/>
            <w:noWrap/>
          </w:tcPr>
          <w:p>
            <w:pPr>
              <w:pBdr/>
              <w:spacing/>
              <w:ind w:right="11" w:left="11"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sz w:val="24"/>
          <w:szCs w:val="24"/>
        </w:rPr>
        <w:sectPr>
          <w:headerReference w:type="default" r:id="rId11"/>
          <w:headerReference w:type="first" r:id="rId12"/>
          <w:footerReference w:type="default" r:id="rId15"/>
          <w:footerReference w:type="even" r:id="rId16"/>
          <w:footnotePr/>
          <w:endnotePr/>
          <w:type w:val="nextPage"/>
          <w:pgSz w:h="11905" w:orient="landscape" w:w="16838"/>
          <w:pgMar w:top="426" w:right="678" w:bottom="284" w:left="1134" w:header="294" w:footer="9" w:gutter="0"/>
          <w:cols w:num="1" w:sep="0" w:space="720" w:equalWidth="1"/>
        </w:sectPr>
      </w:pPr>
      <w:r/>
      <w:bookmarkStart w:id="6" w:name="Par525"/>
      <w:r/>
      <w:bookmarkEnd w:id="6"/>
      <w:r/>
      <w:r>
        <w:rPr>
          <w:sz w:val="24"/>
          <w:szCs w:val="24"/>
        </w:rPr>
      </w:r>
    </w:p>
    <w:tbl>
      <w:tblPr>
        <w:tblStyle w:val="774"/>
        <w:tblpPr w:horzAnchor="page" w:tblpX="6298" w:vertAnchor="page" w:tblpY="644" w:leftFromText="180" w:topFromText="0" w:rightFromText="180" w:bottomFromText="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96"/>
      </w:tblGrid>
      <w:tr>
        <w:trPr/>
        <w:tc>
          <w:tcPr>
            <w:tcBorders/>
            <w:tcW w:w="4996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3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муниципальной программе «Развитие культуры в городе Новоалтайске на 2021-2025 годы»</w:t>
            </w:r>
            <w:r>
              <w:rPr>
                <w:sz w:val="24"/>
                <w:szCs w:val="24"/>
              </w:rPr>
            </w:r>
          </w:p>
        </w:tc>
      </w:tr>
    </w:tbl>
    <w:p>
      <w:pPr>
        <w:widowControl w:val="false"/>
        <w:pBdr/>
        <w:spacing/>
        <w:ind/>
        <w:rPr>
          <w:sz w:val="24"/>
          <w:szCs w:val="24"/>
        </w:rPr>
      </w:pPr>
      <w:r/>
      <w:bookmarkStart w:id="7" w:name="Par527"/>
      <w:r/>
      <w:bookmarkEnd w:id="7"/>
      <w:r/>
      <w:r>
        <w:rPr>
          <w:sz w:val="24"/>
          <w:szCs w:val="24"/>
        </w:rPr>
      </w:r>
    </w:p>
    <w:p>
      <w:pPr>
        <w:widowControl w:val="false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Объем финансовых ресурсов,</w:t>
      </w:r>
      <w:r>
        <w:rPr>
          <w:sz w:val="24"/>
          <w:szCs w:val="24"/>
        </w:rPr>
      </w:r>
    </w:p>
    <w:p>
      <w:pPr>
        <w:widowControl w:val="false"/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необходимых для реализации муниципальной программы</w:t>
      </w:r>
      <w:r>
        <w:rPr>
          <w:sz w:val="24"/>
          <w:szCs w:val="24"/>
        </w:rPr>
      </w:r>
    </w:p>
    <w:p>
      <w:pPr>
        <w:widowControl w:val="false"/>
        <w:pBdr/>
        <w:spacing/>
        <w:ind w:right="309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744"/>
        <w:tblW w:w="9941" w:type="dxa"/>
        <w:tblInd w:w="1151" w:type="dxa"/>
        <w:tblBorders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4A0" w:firstRow="1" w:lastRow="0" w:firstColumn="1" w:lastColumn="0" w:noHBand="0" w:noVBand="1"/>
      </w:tblPr>
      <w:tblGrid>
        <w:gridCol w:w="3137"/>
        <w:gridCol w:w="1134"/>
        <w:gridCol w:w="1152"/>
        <w:gridCol w:w="1116"/>
        <w:gridCol w:w="1134"/>
        <w:gridCol w:w="1134"/>
        <w:gridCol w:w="1134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37" w:type="dxa"/>
            <w:vMerge w:val="restart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и направления расходов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TA \l "Источники и направления расходов" \s "Источники и направления расходов" \c 1 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680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расходов, тыс.рублей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37" w:type="dxa"/>
            <w:vMerge w:val="continue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2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16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3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финансовых затрат, в том числе: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136845,2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2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150557,0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1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196691,8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226335,3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223780,6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934209,9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3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федерального бюджета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2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1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9350,0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4568,4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13918,4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3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краевого бюджета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2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1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494,0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46,1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540,1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3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городского бюджета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136845,2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2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150557,0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1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186847,8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tabs>
                <w:tab w:val="left" w:leader="none" w:pos="828"/>
              </w:tabs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221720,8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223780,6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919751,4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3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Капитальные вложения, в том числе: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1310,0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2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1180,0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1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39346,1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50723,6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93419,7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3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федерального бюджета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2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1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9350,0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4568,4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13918,4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3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краевого бюджета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2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1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494,0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46,1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540,1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3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бюджета городского округа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1310,0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2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1180,0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1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29502,1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46109,1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78961,2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3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расходы, в том числе: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135535,2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2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149377,0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1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157345,7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175611,7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222920,6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840790,2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3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федерального бюджета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2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1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3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краевого бюджета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2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1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37" w:type="dxa"/>
            <w:textDirection w:val="lrTb"/>
            <w:noWrap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бюджета городского округа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135535,2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52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149377,0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16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157345,7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175611,7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222920,6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840790,2</w:t>
            </w:r>
            <w:r>
              <w:rPr>
                <w:sz w:val="24"/>
                <w:szCs w:val="24"/>
              </w:rPr>
            </w:r>
          </w:p>
        </w:tc>
      </w:tr>
    </w:tbl>
    <w:p>
      <w:pPr>
        <w:widowControl w:val="false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h="16838" w:orient="portrait" w:w="11905"/>
      <w:pgMar w:top="539" w:right="539" w:bottom="1134" w:left="284" w:header="284" w:footer="284" w:gutter="0"/>
      <w:cols w:num="1" w:sep="0" w:space="72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</w:font>
  <w:font w:name="SimSun">
    <w:panose1 w:val="02000603000000000000"/>
  </w:font>
  <w:font w:name="Mangal">
    <w:panose1 w:val="02040503050406030204"/>
  </w:font>
  <w:font w:name="Courier New">
    <w:panose1 w:val="02070309020205020404"/>
  </w:font>
  <w:font w:name="MS Mincho">
    <w:panose1 w:val="0202060305040509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5"/>
      <w:pBdr/>
      <w:spacing/>
      <w:ind w:right="360"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5"/>
      <w:framePr w:hAnchor="margin" w:vAnchor="text" w:wrap="around" w:xAlign="right" w:y="1"/>
      <w:pBdr/>
      <w:spacing/>
      <w:ind/>
      <w:rPr>
        <w:rStyle w:val="749"/>
      </w:rPr>
    </w:pPr>
    <w:r>
      <w:rPr>
        <w:rStyle w:val="749"/>
      </w:rPr>
      <w:fldChar w:fldCharType="begin"/>
    </w:r>
    <w:r>
      <w:rPr>
        <w:rStyle w:val="749"/>
      </w:rPr>
      <w:instrText xml:space="preserve">PAGE  </w:instrText>
    </w:r>
    <w:r>
      <w:rPr>
        <w:rStyle w:val="749"/>
      </w:rPr>
      <w:fldChar w:fldCharType="end"/>
    </w:r>
    <w:r>
      <w:rPr>
        <w:rStyle w:val="749"/>
      </w:rPr>
    </w:r>
  </w:p>
  <w:p>
    <w:pPr>
      <w:pStyle w:val="935"/>
      <w:pBdr/>
      <w:spacing/>
      <w:ind w:right="360"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5"/>
      <w:pBdr/>
      <w:spacing/>
      <w:ind w:right="360"/>
      <w:rPr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5"/>
      <w:framePr w:hAnchor="margin" w:vAnchor="text" w:wrap="around" w:xAlign="right" w:y="1"/>
      <w:pBdr/>
      <w:spacing/>
      <w:ind/>
      <w:rPr>
        <w:rStyle w:val="749"/>
      </w:rPr>
    </w:pPr>
    <w:r>
      <w:rPr>
        <w:rStyle w:val="749"/>
      </w:rPr>
      <w:fldChar w:fldCharType="begin"/>
    </w:r>
    <w:r>
      <w:rPr>
        <w:rStyle w:val="749"/>
      </w:rPr>
      <w:instrText xml:space="preserve">PAGE  </w:instrText>
    </w:r>
    <w:r>
      <w:rPr>
        <w:rStyle w:val="749"/>
      </w:rPr>
      <w:fldChar w:fldCharType="separate"/>
    </w:r>
    <w:r>
      <w:rPr>
        <w:rStyle w:val="749"/>
      </w:rPr>
      <w:t xml:space="preserve">2</w:t>
    </w:r>
    <w:r>
      <w:rPr>
        <w:rStyle w:val="749"/>
      </w:rPr>
      <w:fldChar w:fldCharType="end"/>
    </w:r>
    <w:r>
      <w:rPr>
        <w:rStyle w:val="749"/>
      </w:rPr>
    </w:r>
  </w:p>
  <w:p>
    <w:pPr>
      <w:pStyle w:val="935"/>
      <w:pBdr/>
      <w:spacing/>
      <w:ind w:right="360"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5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5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widowControl w:val="false"/>
      <w:pBdr/>
      <w:spacing/>
      <w:ind/>
      <w:jc w:val="center"/>
      <w:rPr/>
    </w:pPr>
    <w:r/>
    <w:r/>
  </w:p>
  <w:p>
    <w:pPr>
      <w:widowControl w:val="false"/>
      <w:pBdr/>
      <w:tabs>
        <w:tab w:val="left" w:leader="none" w:pos="5610"/>
        <w:tab w:val="center" w:leader="none" w:pos="7285"/>
      </w:tabs>
      <w:spacing/>
      <w:ind/>
      <w:rPr/>
    </w:pPr>
    <w:r>
      <w:tab/>
    </w:r>
    <w:r>
      <w:tab/>
    </w: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widowControl w:val="false"/>
      <w:pBdr/>
      <w:spacing/>
      <w:ind/>
      <w:jc w:val="center"/>
      <w:rPr/>
    </w:pPr>
    <w:r/>
    <w:r/>
  </w:p>
  <w:p>
    <w:pPr>
      <w:pStyle w:val="771"/>
      <w:pBdr/>
      <w:spacing/>
      <w:ind/>
      <w:contextualSpacing w:val="true"/>
      <w:rPr>
        <w:sz w:val="24"/>
        <w:szCs w:val="24"/>
      </w:rPr>
    </w:pPr>
    <w:r>
      <w:rPr>
        <w:sz w:val="24"/>
        <w:szCs w:val="24"/>
      </w:rPr>
    </w:r>
    <w:r>
      <w:rPr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450" w:left="450"/>
      </w:pPr>
      <w:rPr>
        <w:rFonts w:hint="default" w:cs="Times New Roman"/>
      </w:rPr>
      <w:start w:val="3"/>
      <w:suff w:val="tab"/>
    </w:lvl>
    <w:lvl w:ilvl="1">
      <w:isLgl w:val="false"/>
      <w:lvlJc w:val="left"/>
      <w:lvlText/>
      <w:numFmt w:val="none"/>
      <w:pPr>
        <w:pBdr/>
        <w:tabs>
          <w:tab w:val="left" w:leader="none" w:pos="360"/>
        </w:tabs>
        <w:spacing/>
        <w:ind/>
      </w:pPr>
      <w:rPr/>
      <w:start w:val="0"/>
      <w:suff w:val="tab"/>
    </w:lvl>
    <w:lvl w:ilvl="2">
      <w:isLgl w:val="false"/>
      <w:lvlJc w:val="left"/>
      <w:lvlText/>
      <w:numFmt w:val="none"/>
      <w:pPr>
        <w:pBdr/>
        <w:tabs>
          <w:tab w:val="left" w:leader="none" w:pos="360"/>
        </w:tabs>
        <w:spacing/>
        <w:ind/>
      </w:pPr>
      <w:rPr/>
      <w:start w:val="0"/>
      <w:suff w:val="tab"/>
    </w:lvl>
    <w:lvl w:ilvl="3">
      <w:isLgl w:val="false"/>
      <w:lvlJc w:val="left"/>
      <w:lvlText/>
      <w:numFmt w:val="none"/>
      <w:pPr>
        <w:pBdr/>
        <w:tabs>
          <w:tab w:val="left" w:leader="none" w:pos="360"/>
        </w:tabs>
        <w:spacing/>
        <w:ind/>
      </w:pPr>
      <w:rPr/>
      <w:start w:val="0"/>
      <w:suff w:val="tab"/>
    </w:lvl>
    <w:lvl w:ilvl="4">
      <w:isLgl w:val="false"/>
      <w:lvlJc w:val="left"/>
      <w:lvlText/>
      <w:numFmt w:val="none"/>
      <w:pPr>
        <w:pBdr/>
        <w:tabs>
          <w:tab w:val="left" w:leader="none" w:pos="360"/>
        </w:tabs>
        <w:spacing/>
        <w:ind/>
      </w:pPr>
      <w:rPr/>
      <w:start w:val="0"/>
      <w:suff w:val="tab"/>
    </w:lvl>
    <w:lvl w:ilvl="5">
      <w:isLgl w:val="false"/>
      <w:lvlJc w:val="left"/>
      <w:lvlText/>
      <w:numFmt w:val="none"/>
      <w:pPr>
        <w:pBdr/>
        <w:tabs>
          <w:tab w:val="left" w:leader="none" w:pos="360"/>
        </w:tabs>
        <w:spacing/>
        <w:ind/>
      </w:pPr>
      <w:rPr/>
      <w:start w:val="0"/>
      <w:suff w:val="tab"/>
    </w:lvl>
    <w:lvl w:ilvl="6">
      <w:isLgl w:val="false"/>
      <w:lvlJc w:val="left"/>
      <w:lvlText/>
      <w:numFmt w:val="none"/>
      <w:pPr>
        <w:pBdr/>
        <w:tabs>
          <w:tab w:val="left" w:leader="none" w:pos="360"/>
        </w:tabs>
        <w:spacing/>
        <w:ind/>
      </w:pPr>
      <w:rPr/>
      <w:start w:val="0"/>
      <w:suff w:val="tab"/>
    </w:lvl>
    <w:lvl w:ilvl="7">
      <w:isLgl w:val="false"/>
      <w:lvlJc w:val="left"/>
      <w:lvlText/>
      <w:numFmt w:val="none"/>
      <w:pPr>
        <w:pBdr/>
        <w:tabs>
          <w:tab w:val="left" w:leader="none" w:pos="360"/>
        </w:tabs>
        <w:spacing/>
        <w:ind/>
      </w:pPr>
      <w:rPr/>
      <w:start w:val="0"/>
      <w:suff w:val="tab"/>
    </w:lvl>
    <w:lvl w:ilvl="8">
      <w:isLgl w:val="false"/>
      <w:lvlJc w:val="left"/>
      <w:lvlText/>
      <w:numFmt w:val="none"/>
      <w:pPr>
        <w:pBdr/>
        <w:tabs>
          <w:tab w:val="left" w:leader="none" w:pos="360"/>
        </w:tabs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502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222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942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662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382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102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822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542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262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3">
    <w:name w:val="Plain Table 1"/>
    <w:basedOn w:val="74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4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140">
    <w:name w:val="Heading 3"/>
    <w:basedOn w:val="739"/>
    <w:next w:val="739"/>
    <w:link w:val="77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739"/>
    <w:next w:val="739"/>
    <w:link w:val="77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739"/>
    <w:next w:val="739"/>
    <w:link w:val="78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739"/>
    <w:next w:val="739"/>
    <w:link w:val="78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5">
    <w:name w:val="Heading 8"/>
    <w:basedOn w:val="739"/>
    <w:next w:val="739"/>
    <w:link w:val="785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39"/>
    <w:next w:val="739"/>
    <w:link w:val="78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59">
    <w:name w:val="Title Char"/>
    <w:basedOn w:val="743"/>
    <w:link w:val="76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743"/>
    <w:link w:val="77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3">
    <w:name w:val="Quote Char"/>
    <w:basedOn w:val="743"/>
    <w:link w:val="79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4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7">
    <w:name w:val="Intense Quote Char"/>
    <w:basedOn w:val="743"/>
    <w:link w:val="79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4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74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43"/>
    <w:uiPriority w:val="20"/>
    <w:qFormat/>
    <w:pPr>
      <w:pBdr/>
      <w:spacing/>
      <w:ind/>
    </w:pPr>
    <w:rPr>
      <w:i/>
      <w:iCs/>
    </w:rPr>
  </w:style>
  <w:style w:type="character" w:styleId="173">
    <w:name w:val="Subtle Reference"/>
    <w:basedOn w:val="74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4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9">
    <w:name w:val="Caption"/>
    <w:basedOn w:val="739"/>
    <w:next w:val="73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character" w:styleId="181">
    <w:name w:val="Footnote Text Char"/>
    <w:basedOn w:val="743"/>
    <w:link w:val="755"/>
    <w:uiPriority w:val="99"/>
    <w:semiHidden/>
    <w:pPr>
      <w:pBdr/>
      <w:spacing/>
      <w:ind/>
    </w:pPr>
    <w:rPr>
      <w:sz w:val="20"/>
      <w:szCs w:val="20"/>
    </w:rPr>
  </w:style>
  <w:style w:type="character" w:styleId="184">
    <w:name w:val="Endnote Text Char"/>
    <w:basedOn w:val="743"/>
    <w:link w:val="752"/>
    <w:uiPriority w:val="99"/>
    <w:semiHidden/>
    <w:pPr>
      <w:pBdr/>
      <w:spacing/>
      <w:ind/>
    </w:pPr>
    <w:rPr>
      <w:sz w:val="20"/>
      <w:szCs w:val="20"/>
    </w:rPr>
  </w:style>
  <w:style w:type="character" w:styleId="187">
    <w:name w:val="FollowedHyperlink"/>
    <w:basedOn w:val="74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39" w:default="1">
    <w:name w:val="Normal"/>
    <w:uiPriority w:val="0"/>
    <w:qFormat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740">
    <w:name w:val="Heading 1"/>
    <w:basedOn w:val="739"/>
    <w:next w:val="739"/>
    <w:link w:val="961"/>
    <w:uiPriority w:val="9"/>
    <w:qFormat/>
    <w:pPr>
      <w:keepNext w:val="true"/>
      <w:keepLines w:val="true"/>
      <w:pBdr/>
      <w:spacing w:before="240"/>
      <w:ind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741">
    <w:name w:val="Heading 2"/>
    <w:basedOn w:val="739"/>
    <w:next w:val="739"/>
    <w:link w:val="956"/>
    <w:uiPriority w:val="0"/>
    <w:qFormat/>
    <w:pPr>
      <w:keepNext w:val="true"/>
      <w:pBdr/>
      <w:spacing/>
      <w:ind/>
      <w:jc w:val="center"/>
      <w:outlineLvl w:val="1"/>
    </w:pPr>
    <w:rPr>
      <w:sz w:val="28"/>
    </w:rPr>
  </w:style>
  <w:style w:type="paragraph" w:styleId="742">
    <w:name w:val="Heading 7"/>
    <w:basedOn w:val="739"/>
    <w:next w:val="739"/>
    <w:link w:val="957"/>
    <w:uiPriority w:val="0"/>
    <w:qFormat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character" w:styleId="743" w:default="1">
    <w:name w:val="Default Paragraph Font"/>
    <w:uiPriority w:val="1"/>
    <w:unhideWhenUsed/>
    <w:pPr>
      <w:pBdr/>
      <w:spacing/>
      <w:ind/>
    </w:pPr>
  </w:style>
  <w:style w:type="table" w:styleId="744" w:default="1">
    <w:name w:val="Normal Table"/>
    <w:uiPriority w:val="99"/>
    <w:semiHidden/>
    <w:unhideWhenUsed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45">
    <w:name w:val="footnote reference"/>
    <w:basedOn w:val="743"/>
    <w:uiPriority w:val="99"/>
    <w:unhideWhenUsed/>
    <w:qFormat/>
    <w:pPr>
      <w:pBdr/>
      <w:spacing/>
      <w:ind/>
    </w:pPr>
    <w:rPr>
      <w:vertAlign w:val="superscript"/>
    </w:rPr>
  </w:style>
  <w:style w:type="character" w:styleId="746">
    <w:name w:val="annotation reference"/>
    <w:basedOn w:val="743"/>
    <w:uiPriority w:val="99"/>
    <w:semiHidden/>
    <w:unhideWhenUsed/>
    <w:pPr>
      <w:pBdr/>
      <w:spacing/>
      <w:ind/>
    </w:pPr>
    <w:rPr>
      <w:sz w:val="16"/>
      <w:szCs w:val="16"/>
    </w:rPr>
  </w:style>
  <w:style w:type="character" w:styleId="747">
    <w:name w:val="endnote reference"/>
    <w:basedOn w:val="743"/>
    <w:uiPriority w:val="99"/>
    <w:semiHidden/>
    <w:unhideWhenUsed/>
    <w:qFormat/>
    <w:pPr>
      <w:pBdr/>
      <w:spacing/>
      <w:ind/>
    </w:pPr>
    <w:rPr>
      <w:vertAlign w:val="superscript"/>
    </w:rPr>
  </w:style>
  <w:style w:type="character" w:styleId="748">
    <w:name w:val="Hyperlink"/>
    <w:basedOn w:val="743"/>
    <w:uiPriority w:val="99"/>
    <w:unhideWhenUsed/>
    <w:qFormat/>
    <w:pPr>
      <w:pBdr/>
      <w:spacing/>
      <w:ind/>
    </w:pPr>
    <w:rPr>
      <w:color w:val="0000ff"/>
      <w:u w:val="single"/>
    </w:rPr>
  </w:style>
  <w:style w:type="character" w:styleId="749">
    <w:name w:val="page number"/>
    <w:basedOn w:val="743"/>
    <w:uiPriority w:val="0"/>
    <w:qFormat/>
    <w:pPr>
      <w:pBdr/>
      <w:spacing/>
      <w:ind/>
    </w:pPr>
    <w:rPr>
      <w:rFonts w:cs="Times New Roman"/>
    </w:rPr>
  </w:style>
  <w:style w:type="character" w:styleId="750">
    <w:name w:val="Strong"/>
    <w:basedOn w:val="743"/>
    <w:uiPriority w:val="22"/>
    <w:qFormat/>
    <w:pPr>
      <w:pBdr/>
      <w:spacing/>
      <w:ind/>
    </w:pPr>
    <w:rPr>
      <w:b/>
      <w:bCs/>
    </w:rPr>
  </w:style>
  <w:style w:type="paragraph" w:styleId="751">
    <w:name w:val="Balloon Text"/>
    <w:basedOn w:val="739"/>
    <w:link w:val="948"/>
    <w:uiPriority w:val="99"/>
    <w:semiHidden/>
    <w:qFormat/>
    <w:pPr>
      <w:pBdr/>
      <w:spacing/>
      <w:ind/>
    </w:pPr>
    <w:rPr>
      <w:rFonts w:ascii="Tahoma" w:hAnsi="Tahoma" w:cs="Tahoma"/>
      <w:sz w:val="16"/>
      <w:szCs w:val="16"/>
    </w:rPr>
  </w:style>
  <w:style w:type="paragraph" w:styleId="752">
    <w:name w:val="endnote text"/>
    <w:basedOn w:val="739"/>
    <w:link w:val="924"/>
    <w:uiPriority w:val="99"/>
    <w:semiHidden/>
    <w:unhideWhenUsed/>
    <w:qFormat/>
    <w:pPr>
      <w:pBdr/>
      <w:spacing/>
      <w:ind/>
    </w:pPr>
  </w:style>
  <w:style w:type="paragraph" w:styleId="753">
    <w:name w:val="annotation text"/>
    <w:basedOn w:val="739"/>
    <w:link w:val="959"/>
    <w:uiPriority w:val="99"/>
    <w:semiHidden/>
    <w:unhideWhenUsed/>
    <w:pPr>
      <w:pBdr/>
      <w:spacing/>
      <w:ind/>
    </w:pPr>
  </w:style>
  <w:style w:type="paragraph" w:styleId="754">
    <w:name w:val="annotation subject"/>
    <w:basedOn w:val="753"/>
    <w:next w:val="753"/>
    <w:link w:val="960"/>
    <w:uiPriority w:val="99"/>
    <w:semiHidden/>
    <w:unhideWhenUsed/>
    <w:pPr>
      <w:pBdr/>
      <w:spacing/>
      <w:ind/>
    </w:pPr>
    <w:rPr>
      <w:b/>
      <w:bCs/>
    </w:rPr>
  </w:style>
  <w:style w:type="paragraph" w:styleId="755">
    <w:name w:val="footnote text"/>
    <w:basedOn w:val="739"/>
    <w:link w:val="923"/>
    <w:uiPriority w:val="99"/>
    <w:semiHidden/>
    <w:unhideWhenUsed/>
    <w:pPr>
      <w:pBdr/>
      <w:spacing w:after="40"/>
      <w:ind/>
    </w:pPr>
    <w:rPr>
      <w:sz w:val="18"/>
    </w:rPr>
  </w:style>
  <w:style w:type="paragraph" w:styleId="756">
    <w:name w:val="toc 8"/>
    <w:basedOn w:val="739"/>
    <w:next w:val="739"/>
    <w:uiPriority w:val="39"/>
    <w:unhideWhenUsed/>
    <w:qFormat/>
    <w:pPr>
      <w:pBdr/>
      <w:spacing w:after="57"/>
      <w:ind w:left="1984"/>
    </w:pPr>
  </w:style>
  <w:style w:type="paragraph" w:styleId="757">
    <w:name w:val="Header"/>
    <w:basedOn w:val="739"/>
    <w:link w:val="954"/>
    <w:uiPriority w:val="0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758">
    <w:name w:val="toc 9"/>
    <w:basedOn w:val="739"/>
    <w:next w:val="739"/>
    <w:uiPriority w:val="39"/>
    <w:unhideWhenUsed/>
    <w:qFormat/>
    <w:pPr>
      <w:pBdr/>
      <w:spacing w:after="57"/>
      <w:ind w:left="2268"/>
    </w:pPr>
  </w:style>
  <w:style w:type="paragraph" w:styleId="759">
    <w:name w:val="toc 7"/>
    <w:basedOn w:val="739"/>
    <w:next w:val="739"/>
    <w:uiPriority w:val="39"/>
    <w:unhideWhenUsed/>
    <w:qFormat/>
    <w:pPr>
      <w:pBdr/>
      <w:spacing w:after="57"/>
      <w:ind w:left="1701"/>
    </w:pPr>
  </w:style>
  <w:style w:type="paragraph" w:styleId="760">
    <w:name w:val="Body Text"/>
    <w:basedOn w:val="739"/>
    <w:link w:val="940"/>
    <w:uiPriority w:val="99"/>
    <w:qFormat/>
    <w:pPr>
      <w:widowControl w:val="false"/>
      <w:pBdr/>
      <w:shd w:val="clear" w:color="auto" w:fill="ffffff"/>
      <w:spacing w:after="60" w:before="360" w:line="240" w:lineRule="atLeast"/>
      <w:ind w:hanging="2720"/>
      <w:jc w:val="both"/>
    </w:pPr>
    <w:rPr>
      <w:rFonts w:eastAsia="Calibri"/>
      <w:sz w:val="27"/>
      <w:szCs w:val="27"/>
    </w:rPr>
  </w:style>
  <w:style w:type="paragraph" w:styleId="761">
    <w:name w:val="toc 1"/>
    <w:basedOn w:val="739"/>
    <w:next w:val="739"/>
    <w:uiPriority w:val="39"/>
    <w:unhideWhenUsed/>
    <w:qFormat/>
    <w:pPr>
      <w:pBdr/>
      <w:spacing w:after="57"/>
      <w:ind/>
    </w:pPr>
  </w:style>
  <w:style w:type="paragraph" w:styleId="762">
    <w:name w:val="toc 6"/>
    <w:basedOn w:val="739"/>
    <w:next w:val="739"/>
    <w:uiPriority w:val="39"/>
    <w:unhideWhenUsed/>
    <w:qFormat/>
    <w:pPr>
      <w:pBdr/>
      <w:spacing w:after="57"/>
      <w:ind w:left="1417"/>
    </w:pPr>
  </w:style>
  <w:style w:type="paragraph" w:styleId="763">
    <w:name w:val="table of figures"/>
    <w:basedOn w:val="739"/>
    <w:next w:val="739"/>
    <w:uiPriority w:val="99"/>
    <w:unhideWhenUsed/>
    <w:qFormat/>
    <w:pPr>
      <w:pBdr/>
      <w:spacing/>
      <w:ind/>
    </w:pPr>
  </w:style>
  <w:style w:type="paragraph" w:styleId="764">
    <w:name w:val="toc 3"/>
    <w:basedOn w:val="739"/>
    <w:next w:val="739"/>
    <w:uiPriority w:val="39"/>
    <w:unhideWhenUsed/>
    <w:qFormat/>
    <w:pPr>
      <w:pBdr/>
      <w:spacing w:after="57"/>
      <w:ind w:left="567"/>
    </w:pPr>
  </w:style>
  <w:style w:type="paragraph" w:styleId="765">
    <w:name w:val="toc 2"/>
    <w:basedOn w:val="739"/>
    <w:next w:val="739"/>
    <w:uiPriority w:val="39"/>
    <w:unhideWhenUsed/>
    <w:qFormat/>
    <w:pPr>
      <w:pBdr/>
      <w:spacing w:after="57"/>
      <w:ind w:left="283"/>
    </w:pPr>
  </w:style>
  <w:style w:type="paragraph" w:styleId="766">
    <w:name w:val="toc 4"/>
    <w:basedOn w:val="739"/>
    <w:next w:val="739"/>
    <w:uiPriority w:val="39"/>
    <w:unhideWhenUsed/>
    <w:qFormat/>
    <w:pPr>
      <w:pBdr/>
      <w:spacing w:after="57"/>
      <w:ind w:left="850"/>
    </w:pPr>
  </w:style>
  <w:style w:type="paragraph" w:styleId="767">
    <w:name w:val="toc 5"/>
    <w:basedOn w:val="739"/>
    <w:next w:val="739"/>
    <w:uiPriority w:val="39"/>
    <w:unhideWhenUsed/>
    <w:qFormat/>
    <w:pPr>
      <w:pBdr/>
      <w:spacing w:after="57"/>
      <w:ind w:left="1134"/>
    </w:pPr>
  </w:style>
  <w:style w:type="paragraph" w:styleId="768">
    <w:name w:val="Title"/>
    <w:basedOn w:val="739"/>
    <w:next w:val="739"/>
    <w:link w:val="788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paragraph" w:styleId="769">
    <w:name w:val="Footer"/>
    <w:basedOn w:val="739"/>
    <w:link w:val="955"/>
    <w:uiPriority w:val="99"/>
    <w:semiHidden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770">
    <w:name w:val="Normal (Web)"/>
    <w:basedOn w:val="739"/>
    <w:uiPriority w:val="99"/>
    <w:unhideWhenUsed/>
    <w:pPr>
      <w:pBdr/>
      <w:spacing w:after="100" w:afterAutospacing="1" w:before="100" w:beforeAutospacing="1"/>
      <w:ind/>
    </w:pPr>
    <w:rPr>
      <w:sz w:val="24"/>
      <w:szCs w:val="24"/>
    </w:rPr>
  </w:style>
  <w:style w:type="paragraph" w:styleId="771">
    <w:name w:val="Body Text 3"/>
    <w:basedOn w:val="739"/>
    <w:link w:val="947"/>
    <w:uiPriority w:val="99"/>
    <w:pPr>
      <w:pBdr/>
      <w:spacing w:after="120"/>
      <w:ind/>
    </w:pPr>
    <w:rPr>
      <w:sz w:val="16"/>
      <w:szCs w:val="16"/>
    </w:rPr>
  </w:style>
  <w:style w:type="paragraph" w:styleId="772">
    <w:name w:val="Body Text Indent 2"/>
    <w:basedOn w:val="739"/>
    <w:link w:val="958"/>
    <w:uiPriority w:val="99"/>
    <w:semiHidden/>
    <w:unhideWhenUsed/>
    <w:pPr>
      <w:pBdr/>
      <w:spacing w:after="120" w:line="480" w:lineRule="auto"/>
      <w:ind w:left="283"/>
    </w:pPr>
  </w:style>
  <w:style w:type="paragraph" w:styleId="773">
    <w:name w:val="Subtitle"/>
    <w:basedOn w:val="739"/>
    <w:next w:val="739"/>
    <w:link w:val="789"/>
    <w:uiPriority w:val="11"/>
    <w:qFormat/>
    <w:pPr>
      <w:pBdr/>
      <w:spacing w:after="200" w:before="200"/>
      <w:ind/>
    </w:pPr>
    <w:rPr>
      <w:sz w:val="24"/>
      <w:szCs w:val="24"/>
    </w:rPr>
  </w:style>
  <w:style w:type="table" w:styleId="774">
    <w:name w:val="Table Grid"/>
    <w:basedOn w:val="744"/>
    <w:uiPriority w:val="59"/>
    <w:qFormat/>
    <w:pPr>
      <w:pBdr/>
      <w:spacing/>
      <w:ind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75" w:customStyle="1">
    <w:name w:val="Heading 1 Char"/>
    <w:basedOn w:val="74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76" w:customStyle="1">
    <w:name w:val="Heading 2 Char"/>
    <w:basedOn w:val="743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77" w:customStyle="1">
    <w:name w:val="Heading 3 Char"/>
    <w:basedOn w:val="74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78" w:customStyle="1">
    <w:name w:val="Заголовок 41"/>
    <w:basedOn w:val="739"/>
    <w:next w:val="739"/>
    <w:link w:val="77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9" w:customStyle="1">
    <w:name w:val="Heading 4 Char"/>
    <w:basedOn w:val="743"/>
    <w:link w:val="778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80" w:customStyle="1">
    <w:name w:val="Заголовок 51"/>
    <w:basedOn w:val="739"/>
    <w:next w:val="739"/>
    <w:link w:val="781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1" w:customStyle="1">
    <w:name w:val="Heading 5 Char"/>
    <w:basedOn w:val="743"/>
    <w:link w:val="780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82" w:customStyle="1">
    <w:name w:val="Heading 6 Char"/>
    <w:basedOn w:val="74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83" w:customStyle="1">
    <w:name w:val="Heading 7 Char"/>
    <w:basedOn w:val="743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4" w:customStyle="1">
    <w:name w:val="Заголовок 81"/>
    <w:basedOn w:val="739"/>
    <w:next w:val="739"/>
    <w:link w:val="785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5" w:customStyle="1">
    <w:name w:val="Heading 8 Char"/>
    <w:basedOn w:val="743"/>
    <w:link w:val="784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86" w:customStyle="1">
    <w:name w:val="Заголовок 91"/>
    <w:basedOn w:val="739"/>
    <w:next w:val="739"/>
    <w:link w:val="787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7" w:customStyle="1">
    <w:name w:val="Heading 9 Char"/>
    <w:basedOn w:val="743"/>
    <w:link w:val="786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88" w:customStyle="1">
    <w:name w:val="Заголовок Знак"/>
    <w:basedOn w:val="743"/>
    <w:link w:val="768"/>
    <w:uiPriority w:val="10"/>
    <w:pPr>
      <w:pBdr/>
      <w:spacing/>
      <w:ind/>
    </w:pPr>
    <w:rPr>
      <w:sz w:val="48"/>
      <w:szCs w:val="48"/>
    </w:rPr>
  </w:style>
  <w:style w:type="character" w:styleId="789" w:customStyle="1">
    <w:name w:val="Подзаголовок Знак"/>
    <w:basedOn w:val="743"/>
    <w:link w:val="773"/>
    <w:uiPriority w:val="11"/>
    <w:qFormat/>
    <w:pPr>
      <w:pBdr/>
      <w:spacing/>
      <w:ind/>
    </w:pPr>
    <w:rPr>
      <w:sz w:val="24"/>
      <w:szCs w:val="24"/>
    </w:rPr>
  </w:style>
  <w:style w:type="paragraph" w:styleId="790">
    <w:name w:val="Quote"/>
    <w:basedOn w:val="739"/>
    <w:next w:val="739"/>
    <w:link w:val="791"/>
    <w:uiPriority w:val="29"/>
    <w:qFormat/>
    <w:pPr>
      <w:pBdr/>
      <w:spacing/>
      <w:ind w:right="720" w:left="720"/>
    </w:pPr>
    <w:rPr>
      <w:i/>
    </w:rPr>
  </w:style>
  <w:style w:type="character" w:styleId="791" w:customStyle="1">
    <w:name w:val="Цитата 2 Знак"/>
    <w:link w:val="790"/>
    <w:uiPriority w:val="29"/>
    <w:qFormat/>
    <w:pPr>
      <w:pBdr/>
      <w:spacing/>
      <w:ind/>
    </w:pPr>
    <w:rPr>
      <w:i/>
    </w:rPr>
  </w:style>
  <w:style w:type="paragraph" w:styleId="792">
    <w:name w:val="Intense Quote"/>
    <w:basedOn w:val="739"/>
    <w:next w:val="739"/>
    <w:link w:val="79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93" w:customStyle="1">
    <w:name w:val="Выделенная цитата Знак"/>
    <w:link w:val="792"/>
    <w:uiPriority w:val="30"/>
    <w:pPr>
      <w:pBdr/>
      <w:spacing/>
      <w:ind/>
    </w:pPr>
    <w:rPr>
      <w:i/>
    </w:rPr>
  </w:style>
  <w:style w:type="character" w:styleId="794" w:customStyle="1">
    <w:name w:val="Header Char"/>
    <w:basedOn w:val="743"/>
    <w:uiPriority w:val="99"/>
    <w:pPr>
      <w:pBdr/>
      <w:spacing/>
      <w:ind/>
    </w:pPr>
  </w:style>
  <w:style w:type="character" w:styleId="795" w:customStyle="1">
    <w:name w:val="Footer Char"/>
    <w:basedOn w:val="743"/>
    <w:uiPriority w:val="99"/>
    <w:pPr>
      <w:pBdr/>
      <w:spacing/>
      <w:ind/>
    </w:pPr>
  </w:style>
  <w:style w:type="paragraph" w:styleId="796" w:customStyle="1">
    <w:name w:val="Название объекта1"/>
    <w:basedOn w:val="739"/>
    <w:next w:val="739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styleId="797" w:customStyle="1">
    <w:name w:val="Caption Char"/>
    <w:uiPriority w:val="99"/>
    <w:pPr>
      <w:pBdr/>
      <w:spacing/>
      <w:ind/>
    </w:pPr>
  </w:style>
  <w:style w:type="table" w:styleId="798" w:customStyle="1">
    <w:name w:val="Table Grid Light"/>
    <w:basedOn w:val="744"/>
    <w:uiPriority w:val="59"/>
    <w:pPr>
      <w:pBdr/>
      <w:spacing/>
      <w:ind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Таблица простая 11"/>
    <w:basedOn w:val="744"/>
    <w:uiPriority w:val="59"/>
    <w:pPr>
      <w:pBdr/>
      <w:spacing/>
      <w:ind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Таблица простая 21"/>
    <w:basedOn w:val="74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Таблица простая 31"/>
    <w:basedOn w:val="744"/>
    <w:uiPriority w:val="99"/>
    <w:pPr>
      <w:pBdr/>
      <w:spacing/>
      <w:ind/>
    </w:p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Таблица простая 41"/>
    <w:basedOn w:val="744"/>
    <w:uiPriority w:val="99"/>
    <w:pPr>
      <w:pBdr/>
      <w:spacing/>
      <w:ind/>
    </w:p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Таблица простая 51"/>
    <w:basedOn w:val="744"/>
    <w:uiPriority w:val="99"/>
    <w:pPr>
      <w:pBdr/>
      <w:spacing/>
      <w:ind/>
    </w:p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Таблица-сетка 1 светлая1"/>
    <w:basedOn w:val="744"/>
    <w:uiPriority w:val="99"/>
    <w:pPr>
      <w:pBdr/>
      <w:spacing/>
      <w:ind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96969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1 Light - Accent 1"/>
    <w:basedOn w:val="744"/>
    <w:uiPriority w:val="99"/>
    <w:pPr>
      <w:pBdr/>
      <w:spacing/>
      <w:ind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8b5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1 Light - Accent 2"/>
    <w:basedOn w:val="744"/>
    <w:uiPriority w:val="99"/>
    <w:pPr>
      <w:pBdr/>
      <w:spacing/>
      <w:ind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1 Light - Accent 3"/>
    <w:basedOn w:val="744"/>
    <w:uiPriority w:val="99"/>
    <w:pPr>
      <w:pBdr/>
      <w:spacing/>
      <w:ind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e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1 Light - Accent 4"/>
    <w:basedOn w:val="744"/>
    <w:uiPriority w:val="99"/>
    <w:pPr>
      <w:pBdr/>
      <w:spacing/>
      <w:ind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1 Light - Accent 5"/>
    <w:basedOn w:val="744"/>
    <w:uiPriority w:val="99"/>
    <w:pPr>
      <w:pBdr/>
      <w:spacing/>
      <w:ind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1 Light - Accent 6"/>
    <w:basedOn w:val="744"/>
    <w:uiPriority w:val="99"/>
    <w:pPr>
      <w:pBdr/>
      <w:spacing/>
      <w:ind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Таблица-сетка 21"/>
    <w:basedOn w:val="744"/>
    <w:uiPriority w:val="99"/>
    <w:pPr>
      <w:pBdr/>
      <w:spacing/>
      <w:ind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acaca" w:themeColor="text1" w:themeTint="34" w:fill="cacaca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acaca" w:themeColor="text1" w:themeTint="34" w:fill="cacaca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96969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96969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2 - Accent 1"/>
    <w:basedOn w:val="744"/>
    <w:uiPriority w:val="99"/>
    <w:pPr>
      <w:pBdr/>
      <w:spacing/>
      <w:ind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be5f1" w:themeColor="accent1" w:themeTint="34" w:fill="db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be5f1" w:themeColor="accent1" w:themeTint="34" w:fill="db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b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b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2 - Accent 2"/>
    <w:basedOn w:val="744"/>
    <w:uiPriority w:val="99"/>
    <w:pPr>
      <w:pBdr/>
      <w:spacing/>
      <w:ind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7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2 - Accent 3"/>
    <w:basedOn w:val="744"/>
    <w:uiPriority w:val="99"/>
    <w:pPr>
      <w:pBdr/>
      <w:spacing/>
      <w:ind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2 - Accent 4"/>
    <w:basedOn w:val="744"/>
    <w:uiPriority w:val="99"/>
    <w:pPr>
      <w:pBdr/>
      <w:spacing/>
      <w:ind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2 - Accent 5"/>
    <w:basedOn w:val="744"/>
    <w:uiPriority w:val="99"/>
    <w:pPr>
      <w:pBdr/>
      <w:spacing/>
      <w:ind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2 - Accent 6"/>
    <w:basedOn w:val="744"/>
    <w:uiPriority w:val="99"/>
    <w:pPr>
      <w:pBdr/>
      <w:spacing/>
      <w:ind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Таблица-сетка 31"/>
    <w:basedOn w:val="744"/>
    <w:uiPriority w:val="99"/>
    <w:pPr>
      <w:pBdr/>
      <w:spacing/>
      <w:ind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acaca" w:themeColor="text1" w:themeTint="34" w:fill="cacaca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acaca" w:themeColor="text1" w:themeTint="34" w:fill="cacaca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3 - Accent 1"/>
    <w:basedOn w:val="744"/>
    <w:uiPriority w:val="99"/>
    <w:pPr>
      <w:pBdr/>
      <w:spacing/>
      <w:ind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be5f1" w:themeColor="accent1" w:themeTint="34" w:fill="db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be5f1" w:themeColor="accent1" w:themeTint="34" w:fill="db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3 - Accent 2"/>
    <w:basedOn w:val="744"/>
    <w:uiPriority w:val="99"/>
    <w:pPr>
      <w:pBdr/>
      <w:spacing/>
      <w:ind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3 - Accent 3"/>
    <w:basedOn w:val="744"/>
    <w:uiPriority w:val="99"/>
    <w:pPr>
      <w:pBdr/>
      <w:spacing/>
      <w:ind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3 - Accent 4"/>
    <w:basedOn w:val="744"/>
    <w:uiPriority w:val="99"/>
    <w:pPr>
      <w:pBdr/>
      <w:spacing/>
      <w:ind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3 - Accent 5"/>
    <w:basedOn w:val="744"/>
    <w:uiPriority w:val="99"/>
    <w:pPr>
      <w:pBdr/>
      <w:spacing/>
      <w:ind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3 - Accent 6"/>
    <w:basedOn w:val="744"/>
    <w:uiPriority w:val="99"/>
    <w:pPr>
      <w:pBdr/>
      <w:spacing/>
      <w:ind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Таблица-сетка 41"/>
    <w:basedOn w:val="744"/>
    <w:uiPriority w:val="59"/>
    <w:pPr>
      <w:pBdr/>
      <w:spacing/>
      <w:ind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acaca" w:themeColor="text1" w:themeTint="34" w:fill="cacaca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acaca" w:themeColor="text1" w:themeTint="34" w:fill="cacaca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4 - Accent 1"/>
    <w:basedOn w:val="744"/>
    <w:uiPriority w:val="59"/>
    <w:pPr>
      <w:pBdr/>
      <w:spacing/>
      <w:ind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bc2" w:themeColor="accent1" w:themeTint="EA" w:fill="5d8bc2" w:themeFill="accent1" w:themeFillTint="EA"/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b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4 - Accent 2"/>
    <w:basedOn w:val="744"/>
    <w:uiPriority w:val="59"/>
    <w:pPr>
      <w:pBdr/>
      <w:spacing/>
      <w:ind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7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4 - Accent 3"/>
    <w:basedOn w:val="744"/>
    <w:uiPriority w:val="59"/>
    <w:pPr>
      <w:pBdr/>
      <w:spacing/>
      <w:ind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themeTint="FE" w:fill="9bbb59" w:themeFill="accent3" w:themeFillTint="FE"/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4 - Accent 4"/>
    <w:basedOn w:val="744"/>
    <w:uiPriority w:val="59"/>
    <w:pPr>
      <w:pBdr/>
      <w:spacing/>
      <w:ind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4 - Accent 5"/>
    <w:basedOn w:val="744"/>
    <w:uiPriority w:val="59"/>
    <w:pPr>
      <w:pBdr/>
      <w:spacing/>
      <w:ind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4 - Accent 6"/>
    <w:basedOn w:val="744"/>
    <w:uiPriority w:val="59"/>
    <w:pPr>
      <w:pBdr/>
      <w:spacing/>
      <w:ind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Таблица-сетка 5 темная1"/>
    <w:basedOn w:val="744"/>
    <w:uiPriority w:val="99"/>
    <w:pPr>
      <w:pBdr/>
      <w:spacing/>
      <w:ind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98989" w:themeColor="text1" w:themeTint="75" w:fill="898989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98989" w:themeColor="text1" w:themeTint="75" w:fill="898989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5 Dark- Accent 1"/>
    <w:basedOn w:val="744"/>
    <w:uiPriority w:val="99"/>
    <w:pPr>
      <w:pBdr/>
      <w:spacing/>
      <w:ind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5e0" w:themeColor="accent1" w:themeTint="75" w:fill="ae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5e0" w:themeColor="accent1" w:themeTint="75" w:fill="ae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5 Dark - Accent 2"/>
    <w:basedOn w:val="744"/>
    <w:uiPriority w:val="99"/>
    <w:pPr>
      <w:pBdr/>
      <w:spacing/>
      <w:ind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5 Dark - Accent 3"/>
    <w:basedOn w:val="744"/>
    <w:uiPriority w:val="99"/>
    <w:pPr>
      <w:pBdr/>
      <w:spacing/>
      <w:ind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dfb2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dfb2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5 Dark- Accent 4"/>
    <w:basedOn w:val="744"/>
    <w:uiPriority w:val="99"/>
    <w:pPr>
      <w:pBdr/>
      <w:spacing/>
      <w:ind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5 Dark - Accent 5"/>
    <w:basedOn w:val="744"/>
    <w:uiPriority w:val="99"/>
    <w:pPr>
      <w:pBdr/>
      <w:spacing/>
      <w:ind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5 Dark - Accent 6"/>
    <w:basedOn w:val="744"/>
    <w:uiPriority w:val="99"/>
    <w:pPr>
      <w:pBdr/>
      <w:spacing/>
      <w:ind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Таблица-сетка 6 цветная1"/>
    <w:basedOn w:val="744"/>
    <w:uiPriority w:val="99"/>
    <w:pPr>
      <w:pBdr/>
      <w:spacing/>
      <w:ind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cPr>
      <w:tcBorders/>
    </w:tc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cacaca" w:themeColor="text1" w:themeTint="34" w:fill="cacaca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acaca" w:themeColor="text1" w:themeTint="34" w:fill="cacaca" w:themeFill="text1" w:themeFillTint="34"/>
        <w:tcBorders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bottom w:val="single" w:color="7e7e7e" w:themeColor="text1" w:themeTint="80" w:sz="12" w:space="0"/>
        </w:tcBorders>
      </w:tc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6 Colorful - Accent 1"/>
    <w:basedOn w:val="744"/>
    <w:uiPriority w:val="99"/>
    <w:pPr>
      <w:pBdr/>
      <w:spacing/>
      <w:ind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dbe5f1" w:themeColor="accent1" w:themeTint="34" w:fill="db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be5f1" w:themeColor="accent1" w:themeTint="34" w:fill="dbe5f1" w:themeFill="accent1" w:themeFillTint="34"/>
        <w:tcBorders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6 Colorful - Accent 2"/>
    <w:basedOn w:val="744"/>
    <w:uiPriority w:val="99"/>
    <w:pPr>
      <w:pBdr/>
      <w:spacing/>
      <w:ind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bottom w:val="single" w:color="d99795" w:themeColor="accent2" w:themeTint="97" w:sz="12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6 Colorful - Accent 3"/>
    <w:basedOn w:val="744"/>
    <w:uiPriority w:val="99"/>
    <w:pPr>
      <w:pBdr/>
      <w:spacing/>
      <w:ind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bottom w:val="single" w:color="9bbb59" w:themeColor="accent3" w:themeTint="FE" w:sz="12" w:space="0"/>
        </w:tcBorders>
      </w:tc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6 Colorful - Accent 4"/>
    <w:basedOn w:val="744"/>
    <w:uiPriority w:val="99"/>
    <w:pPr>
      <w:pBdr/>
      <w:spacing/>
      <w:ind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Grid Table 6 Colorful - Accent 5"/>
    <w:basedOn w:val="744"/>
    <w:uiPriority w:val="99"/>
    <w:pPr>
      <w:pBdr/>
      <w:spacing/>
      <w:ind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8" w:themeColor="accent5" w:themeShade="94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8" w:themeColor="accent5" w:themeShade="94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8" w:themeColor="accent5" w:themeShade="94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8" w:themeColor="accent5" w:themeShade="94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8" w:themeColor="accent5" w:themeShade="94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8" w:themeColor="accent5" w:themeShade="94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Grid Table 6 Colorful - Accent 6"/>
    <w:basedOn w:val="744"/>
    <w:uiPriority w:val="99"/>
    <w:pPr>
      <w:pBdr/>
      <w:spacing/>
      <w:ind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8" w:themeColor="accent5" w:themeShade="94"/>
        <w:sz w:val="22"/>
      </w:rPr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band2Horz">
      <w:rPr>
        <w:rFonts w:ascii="Arial" w:hAnsi="Arial"/>
        <w:color w:val="266778" w:themeColor="accent5" w:themeShade="94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8" w:themeColor="accent5" w:themeShade="94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8" w:themeColor="accent5" w:themeShade="94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8" w:themeColor="accent5" w:themeShade="94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8" w:themeColor="accent5" w:themeShade="94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Таблица-сетка 7 цветная1"/>
    <w:basedOn w:val="744"/>
    <w:uiPriority w:val="99"/>
    <w:pPr>
      <w:pBdr/>
      <w:spacing/>
      <w:ind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cPr>
      <w:tcBorders/>
    </w:tc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7 Colorful - Accent 1"/>
    <w:basedOn w:val="744"/>
    <w:uiPriority w:val="99"/>
    <w:pPr>
      <w:pBdr/>
      <w:spacing/>
      <w:ind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dbe5f1" w:themeColor="accent1" w:themeTint="34" w:fill="db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be5f1" w:themeColor="accent1" w:themeTint="34" w:fill="dbe5f1" w:themeFill="accent1" w:themeFillTint="34"/>
        <w:tcBorders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Grid Table 7 Colorful - Accent 2"/>
    <w:basedOn w:val="744"/>
    <w:uiPriority w:val="99"/>
    <w:pPr>
      <w:pBdr/>
      <w:spacing/>
      <w:ind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Grid Table 7 Colorful - Accent 3"/>
    <w:basedOn w:val="744"/>
    <w:uiPriority w:val="99"/>
    <w:pPr>
      <w:pBdr/>
      <w:spacing/>
      <w:ind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7 Colorful - Accent 4"/>
    <w:basedOn w:val="744"/>
    <w:uiPriority w:val="99"/>
    <w:pPr>
      <w:pBdr/>
      <w:spacing/>
      <w:ind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Grid Table 7 Colorful - Accent 5"/>
    <w:basedOn w:val="744"/>
    <w:uiPriority w:val="99"/>
    <w:pPr>
      <w:pBdr/>
      <w:spacing/>
      <w:ind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8" w:themeColor="accent5" w:themeShade="94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8" w:themeColor="accent5" w:themeShade="94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8" w:themeColor="accent5" w:themeShade="94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8" w:themeColor="accent5" w:themeShade="94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Grid Table 7 Colorful - Accent 6"/>
    <w:basedOn w:val="744"/>
    <w:uiPriority w:val="99"/>
    <w:pPr>
      <w:pBdr/>
      <w:spacing/>
      <w:ind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408" w:themeColor="accent6" w:themeShade="94"/>
        <w:sz w:val="22"/>
      </w:rPr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band2Horz">
      <w:rPr>
        <w:rFonts w:ascii="Arial" w:hAnsi="Arial"/>
        <w:color w:val="b05408" w:themeColor="accent6" w:themeShade="94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408" w:themeColor="accent6" w:themeShade="94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408" w:themeColor="accent6" w:themeShade="94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Список-таблица 1 светлая1"/>
    <w:basedOn w:val="744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1 Light - Accent 1"/>
    <w:basedOn w:val="744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1 Light - Accent 2"/>
    <w:basedOn w:val="744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3d2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3d2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1 Light - Accent 3"/>
    <w:basedOn w:val="744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dd5" w:themeColor="accent3" w:themeTint="40" w:fill="e5ed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dd5" w:themeColor="accent3" w:themeTint="40" w:fill="e5ed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1 Light - Accent 4"/>
    <w:basedOn w:val="744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1 Light - Accent 5"/>
    <w:basedOn w:val="744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1 Light - Accent 6"/>
    <w:basedOn w:val="744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ce4d0" w:themeColor="accent6" w:themeTint="40" w:fill="fc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ce4d0" w:themeColor="accent6" w:themeTint="40" w:fill="fc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Список-таблица 21"/>
    <w:basedOn w:val="744"/>
    <w:uiPriority w:val="99"/>
    <w:pPr>
      <w:pBdr/>
      <w:spacing/>
      <w:ind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2 - Accent 1"/>
    <w:basedOn w:val="744"/>
    <w:uiPriority w:val="99"/>
    <w:pPr>
      <w:pBdr/>
      <w:spacing/>
      <w:ind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2 - Accent 2"/>
    <w:basedOn w:val="744"/>
    <w:uiPriority w:val="99"/>
    <w:pPr>
      <w:pBdr/>
      <w:spacing/>
      <w:ind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3d2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3d2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2 - Accent 3"/>
    <w:basedOn w:val="744"/>
    <w:uiPriority w:val="99"/>
    <w:pPr>
      <w:pBdr/>
      <w:spacing/>
      <w:ind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dd5" w:themeColor="accent3" w:themeTint="40" w:fill="e5ed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dd5" w:themeColor="accent3" w:themeTint="40" w:fill="e5ed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2 - Accent 4"/>
    <w:basedOn w:val="744"/>
    <w:uiPriority w:val="99"/>
    <w:pPr>
      <w:pBdr/>
      <w:spacing/>
      <w:ind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2 - Accent 5"/>
    <w:basedOn w:val="744"/>
    <w:uiPriority w:val="99"/>
    <w:pPr>
      <w:pBdr/>
      <w:spacing/>
      <w:ind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2 - Accent 6"/>
    <w:basedOn w:val="744"/>
    <w:uiPriority w:val="99"/>
    <w:pPr>
      <w:pBdr/>
      <w:spacing/>
      <w:ind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ce4d0" w:themeColor="accent6" w:themeTint="40" w:fill="fc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ce4d0" w:themeColor="accent6" w:themeTint="40" w:fill="fc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Список-таблица 31"/>
    <w:basedOn w:val="744"/>
    <w:uiPriority w:val="99"/>
    <w:pPr>
      <w:pBdr/>
      <w:spacing/>
      <w:ind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3 - Accent 1"/>
    <w:basedOn w:val="744"/>
    <w:uiPriority w:val="99"/>
    <w:pPr>
      <w:pBdr/>
      <w:spacing/>
      <w:ind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3 - Accent 2"/>
    <w:basedOn w:val="744"/>
    <w:uiPriority w:val="99"/>
    <w:pPr>
      <w:pBdr/>
      <w:spacing/>
      <w:ind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3 - Accent 3"/>
    <w:basedOn w:val="744"/>
    <w:uiPriority w:val="99"/>
    <w:pPr>
      <w:pBdr/>
      <w:spacing/>
      <w:ind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c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3 - Accent 4"/>
    <w:basedOn w:val="744"/>
    <w:uiPriority w:val="99"/>
    <w:pPr>
      <w:pBdr/>
      <w:spacing/>
      <w:ind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3 - Accent 5"/>
    <w:basedOn w:val="744"/>
    <w:uiPriority w:val="99"/>
    <w:pPr>
      <w:pBdr/>
      <w:spacing/>
      <w:ind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3 - Accent 6"/>
    <w:basedOn w:val="744"/>
    <w:uiPriority w:val="99"/>
    <w:pPr>
      <w:pBdr/>
      <w:spacing/>
      <w:ind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Список-таблица 41"/>
    <w:basedOn w:val="744"/>
    <w:uiPriority w:val="99"/>
    <w:pPr>
      <w:pBdr/>
      <w:spacing/>
      <w:ind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4 - Accent 1"/>
    <w:basedOn w:val="744"/>
    <w:uiPriority w:val="99"/>
    <w:pPr>
      <w:pBdr/>
      <w:spacing/>
      <w:ind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4 - Accent 2"/>
    <w:basedOn w:val="744"/>
    <w:uiPriority w:val="99"/>
    <w:pPr>
      <w:pBdr/>
      <w:spacing/>
      <w:ind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3d2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3d2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4 - Accent 3"/>
    <w:basedOn w:val="744"/>
    <w:uiPriority w:val="99"/>
    <w:pPr>
      <w:pBdr/>
      <w:spacing/>
      <w:ind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dd5" w:themeColor="accent3" w:themeTint="40" w:fill="e5ed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dd5" w:themeColor="accent3" w:themeTint="40" w:fill="e5ed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4 - Accent 4"/>
    <w:basedOn w:val="744"/>
    <w:uiPriority w:val="99"/>
    <w:pPr>
      <w:pBdr/>
      <w:spacing/>
      <w:ind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4 - Accent 5"/>
    <w:basedOn w:val="744"/>
    <w:uiPriority w:val="99"/>
    <w:pPr>
      <w:pBdr/>
      <w:spacing/>
      <w:ind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4 - Accent 6"/>
    <w:basedOn w:val="744"/>
    <w:uiPriority w:val="99"/>
    <w:pPr>
      <w:pBdr/>
      <w:spacing/>
      <w:ind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ce4d0" w:themeColor="accent6" w:themeTint="40" w:fill="fc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ce4d0" w:themeColor="accent6" w:themeTint="40" w:fill="fc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Список-таблица 5 темная1"/>
    <w:basedOn w:val="744"/>
    <w:uiPriority w:val="99"/>
    <w:pPr>
      <w:pBdr/>
      <w:spacing/>
      <w:ind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>
          <w:top w:val="single" w:color="7e7e7e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5 Dark - Accent 1"/>
    <w:basedOn w:val="744"/>
    <w:uiPriority w:val="99"/>
    <w:pPr>
      <w:pBdr/>
      <w:spacing/>
      <w:ind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5 Dark - Accent 2"/>
    <w:basedOn w:val="744"/>
    <w:uiPriority w:val="99"/>
    <w:pPr>
      <w:pBdr/>
      <w:spacing/>
      <w:ind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5 Dark - Accent 3"/>
    <w:basedOn w:val="744"/>
    <w:uiPriority w:val="99"/>
    <w:pPr>
      <w:pBdr/>
      <w:spacing/>
      <w:ind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c" w:themeColor="accent3" w:themeTint="98" w:fill="c3d69c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shd w:val="clear" w:color="c3d69c" w:themeColor="accent3" w:themeTint="98" w:fill="c3d69c" w:themeFill="accent3" w:themeFillTint="98"/>
        <w:tcBorders>
          <w:top w:val="single" w:color="c3d69c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5 Dark - Accent 4"/>
    <w:basedOn w:val="744"/>
    <w:uiPriority w:val="99"/>
    <w:pPr>
      <w:pBdr/>
      <w:spacing/>
      <w:ind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5 Dark - Accent 5"/>
    <w:basedOn w:val="744"/>
    <w:uiPriority w:val="99"/>
    <w:pPr>
      <w:pBdr/>
      <w:spacing/>
      <w:ind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5 Dark - Accent 6"/>
    <w:basedOn w:val="744"/>
    <w:uiPriority w:val="99"/>
    <w:pPr>
      <w:pBdr/>
      <w:spacing/>
      <w:ind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Список-таблица 6 цветная1"/>
    <w:basedOn w:val="744"/>
    <w:uiPriority w:val="99"/>
    <w:pPr>
      <w:pBdr/>
      <w:spacing/>
      <w:ind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pPr>
        <w:pBdr/>
        <w:spacing/>
        <w:ind/>
      </w:pPr>
      <w:tblPr>
        <w:tblBorders/>
      </w:tblPr>
      <w:tcPr>
        <w:tcBorders>
          <w:bottom w:val="single" w:color="7e7e7e" w:themeColor="text1" w:themeTint="80" w:sz="4" w:space="0"/>
        </w:tcBorders>
      </w:tc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pPr>
        <w:pBdr/>
        <w:spacing/>
        <w:ind/>
      </w:pPr>
      <w:tblPr>
        <w:tblBorders/>
      </w:tblPr>
      <w:tcPr>
        <w:tcBorders>
          <w:top w:val="single" w:color="7e7e7e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6 Colorful - Accent 1"/>
    <w:basedOn w:val="744"/>
    <w:uiPriority w:val="99"/>
    <w:pPr>
      <w:pBdr/>
      <w:spacing/>
      <w:ind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4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4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4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4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4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4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6 Colorful - Accent 2"/>
    <w:basedOn w:val="744"/>
    <w:uiPriority w:val="99"/>
    <w:pPr>
      <w:pBdr/>
      <w:spacing/>
      <w:ind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efd3d2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3d2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bottom w:val="single" w:color="d99795" w:themeColor="accent2" w:themeTint="97" w:sz="4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top w:val="single" w:color="d997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6 Colorful - Accent 3"/>
    <w:basedOn w:val="744"/>
    <w:uiPriority w:val="99"/>
    <w:pPr>
      <w:pBdr/>
      <w:spacing/>
      <w:ind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e5edd5" w:themeColor="accent3" w:themeTint="40" w:fill="e5ed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dd5" w:themeColor="accent3" w:themeTint="40" w:fill="e5ed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bottom w:val="single" w:color="c3d69c" w:themeColor="accent3" w:themeTint="98" w:sz="4" w:space="0"/>
        </w:tcBorders>
      </w:tc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top w:val="single" w:color="c3d69c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6 Colorful - Accent 4"/>
    <w:basedOn w:val="744"/>
    <w:uiPriority w:val="99"/>
    <w:pPr>
      <w:pBdr/>
      <w:spacing/>
      <w:ind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st Table 6 Colorful - Accent 5"/>
    <w:basedOn w:val="744"/>
    <w:uiPriority w:val="99"/>
    <w:pPr>
      <w:pBdr/>
      <w:spacing/>
      <w:ind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st Table 6 Colorful - Accent 6"/>
    <w:basedOn w:val="744"/>
    <w:uiPriority w:val="99"/>
    <w:pPr>
      <w:pBdr/>
      <w:spacing/>
      <w:ind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ce4d0" w:themeColor="accent6" w:themeTint="40" w:fill="fc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ce4d0" w:themeColor="accent6" w:themeTint="40" w:fill="fc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Список-таблица 7 цветная1"/>
    <w:basedOn w:val="744"/>
    <w:uiPriority w:val="99"/>
    <w:pPr>
      <w:pBdr/>
      <w:spacing/>
      <w:ind/>
    </w:pPr>
    <w:tblPr>
      <w:tblBorders>
        <w:right w:val="single" w:color="7e7e7e" w:themeColor="text1" w:themeTint="80" w:sz="4" w:space="0"/>
      </w:tblBorders>
    </w:tblPr>
    <w:tcPr>
      <w:tcBorders/>
    </w:tc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st Table 7 Colorful - Accent 1"/>
    <w:basedOn w:val="744"/>
    <w:uiPriority w:val="99"/>
    <w:pPr>
      <w:pBdr/>
      <w:spacing/>
      <w:ind/>
    </w:pPr>
    <w:tblPr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4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4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4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4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st Table 7 Colorful - Accent 2"/>
    <w:basedOn w:val="744"/>
    <w:uiPriority w:val="99"/>
    <w:pPr>
      <w:pBdr/>
      <w:spacing/>
      <w:ind/>
    </w:pPr>
    <w:tblPr>
      <w:tblBorders>
        <w:right w:val="single" w:color="d997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efd3d2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3d2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st Table 7 Colorful - Accent 3"/>
    <w:basedOn w:val="744"/>
    <w:uiPriority w:val="99"/>
    <w:pPr>
      <w:pBdr/>
      <w:spacing/>
      <w:ind/>
    </w:pPr>
    <w:tblPr>
      <w:tblBorders>
        <w:right w:val="single" w:color="c3d69c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e5edd5" w:themeColor="accent3" w:themeTint="40" w:fill="e5ed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dd5" w:themeColor="accent3" w:themeTint="40" w:fill="e5ed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c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c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c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c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st Table 7 Colorful - Accent 4"/>
    <w:basedOn w:val="744"/>
    <w:uiPriority w:val="99"/>
    <w:pPr>
      <w:pBdr/>
      <w:spacing/>
      <w:ind/>
    </w:pPr>
    <w:tblPr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st Table 7 Colorful - Accent 5"/>
    <w:basedOn w:val="744"/>
    <w:uiPriority w:val="99"/>
    <w:pPr>
      <w:pBdr/>
      <w:spacing/>
      <w:ind/>
    </w:pPr>
    <w:tblPr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List Table 7 Colorful - Accent 6"/>
    <w:basedOn w:val="744"/>
    <w:uiPriority w:val="99"/>
    <w:pPr>
      <w:pBdr/>
      <w:spacing/>
      <w:ind/>
    </w:pPr>
    <w:tblPr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ce4d0" w:themeColor="accent6" w:themeTint="40" w:fill="fc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ce4d0" w:themeColor="accent6" w:themeTint="40" w:fill="fc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Lined - Accent"/>
    <w:basedOn w:val="744"/>
    <w:uiPriority w:val="99"/>
    <w:pPr>
      <w:pBdr/>
      <w:spacing/>
      <w:ind/>
    </w:pPr>
    <w:rPr>
      <w:color w:val="404040"/>
      <w:sz w:val="20"/>
      <w:szCs w:val="20"/>
    </w:r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Lined - Accent 1"/>
    <w:basedOn w:val="744"/>
    <w:uiPriority w:val="99"/>
    <w:pPr>
      <w:pBdr/>
      <w:spacing/>
      <w:ind/>
    </w:pPr>
    <w:rPr>
      <w:color w:val="404040"/>
      <w:sz w:val="20"/>
      <w:szCs w:val="20"/>
    </w:r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bc2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bc2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bc2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bc2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Lined - Accent 2"/>
    <w:basedOn w:val="744"/>
    <w:uiPriority w:val="99"/>
    <w:pPr>
      <w:pBdr/>
      <w:spacing/>
      <w:ind/>
    </w:pPr>
    <w:rPr>
      <w:color w:val="404040"/>
      <w:sz w:val="20"/>
      <w:szCs w:val="20"/>
    </w:r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Lined - Accent 3"/>
    <w:basedOn w:val="744"/>
    <w:uiPriority w:val="99"/>
    <w:pPr>
      <w:pBdr/>
      <w:spacing/>
      <w:ind/>
    </w:pPr>
    <w:rPr>
      <w:color w:val="404040"/>
      <w:sz w:val="20"/>
      <w:szCs w:val="20"/>
    </w:r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bbb59" w:themeColor="accent3" w:themeTint="FE" w:fill="9b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bbb59" w:themeColor="accent3" w:themeTint="FE" w:fill="9b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bbb59" w:themeColor="accent3" w:themeTint="FE" w:fill="9b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bbb59" w:themeColor="accent3" w:themeTint="FE" w:fill="9b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Lined - Accent 4"/>
    <w:basedOn w:val="744"/>
    <w:uiPriority w:val="99"/>
    <w:pPr>
      <w:pBdr/>
      <w:spacing/>
      <w:ind/>
    </w:pPr>
    <w:rPr>
      <w:color w:val="404040"/>
      <w:sz w:val="20"/>
      <w:szCs w:val="20"/>
    </w:r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Lined - Accent 5"/>
    <w:basedOn w:val="744"/>
    <w:uiPriority w:val="99"/>
    <w:pPr>
      <w:pBdr/>
      <w:spacing/>
      <w:ind/>
    </w:pPr>
    <w:rPr>
      <w:color w:val="404040"/>
      <w:sz w:val="20"/>
      <w:szCs w:val="20"/>
    </w:r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Lined - Accent 6"/>
    <w:basedOn w:val="744"/>
    <w:uiPriority w:val="99"/>
    <w:pPr>
      <w:pBdr/>
      <w:spacing/>
      <w:ind/>
    </w:pPr>
    <w:rPr>
      <w:color w:val="404040"/>
      <w:sz w:val="20"/>
      <w:szCs w:val="20"/>
    </w:r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Bordered &amp; Lined - Accent"/>
    <w:basedOn w:val="744"/>
    <w:uiPriority w:val="99"/>
    <w:pPr>
      <w:pBdr/>
      <w:spacing/>
      <w:ind/>
    </w:pPr>
    <w:rPr>
      <w:color w:val="404040"/>
      <w:sz w:val="20"/>
      <w:szCs w:val="2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Bordered &amp; Lined - Accent 1"/>
    <w:basedOn w:val="744"/>
    <w:uiPriority w:val="99"/>
    <w:pPr>
      <w:pBdr/>
      <w:spacing/>
      <w:ind/>
    </w:pPr>
    <w:rPr>
      <w:color w:val="404040"/>
      <w:sz w:val="20"/>
      <w:szCs w:val="2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bc2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bc2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bc2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bc2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Bordered &amp; Lined - Accent 2"/>
    <w:basedOn w:val="744"/>
    <w:uiPriority w:val="99"/>
    <w:pPr>
      <w:pBdr/>
      <w:spacing/>
      <w:ind/>
    </w:pPr>
    <w:rPr>
      <w:color w:val="404040"/>
      <w:sz w:val="20"/>
      <w:szCs w:val="2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Bordered &amp; Lined - Accent 3"/>
    <w:basedOn w:val="744"/>
    <w:uiPriority w:val="99"/>
    <w:pPr>
      <w:pBdr/>
      <w:spacing/>
      <w:ind/>
    </w:pPr>
    <w:rPr>
      <w:color w:val="404040"/>
      <w:sz w:val="20"/>
      <w:szCs w:val="2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bbb59" w:themeColor="accent3" w:themeTint="FE" w:fill="9b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bbb59" w:themeColor="accent3" w:themeTint="FE" w:fill="9b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bbb59" w:themeColor="accent3" w:themeTint="FE" w:fill="9b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bbb59" w:themeColor="accent3" w:themeTint="FE" w:fill="9b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Bordered &amp; Lined - Accent 4"/>
    <w:basedOn w:val="744"/>
    <w:uiPriority w:val="99"/>
    <w:pPr>
      <w:pBdr/>
      <w:spacing/>
      <w:ind/>
    </w:pPr>
    <w:rPr>
      <w:color w:val="404040"/>
      <w:sz w:val="20"/>
      <w:szCs w:val="2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Bordered &amp; Lined - Accent 5"/>
    <w:basedOn w:val="744"/>
    <w:uiPriority w:val="99"/>
    <w:qFormat/>
    <w:pPr>
      <w:pBdr/>
      <w:spacing/>
      <w:ind/>
    </w:pPr>
    <w:rPr>
      <w:color w:val="404040"/>
      <w:sz w:val="20"/>
      <w:szCs w:val="2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Bordered &amp; Lined - Accent 6"/>
    <w:basedOn w:val="744"/>
    <w:uiPriority w:val="99"/>
    <w:qFormat/>
    <w:pPr>
      <w:pBdr/>
      <w:spacing/>
      <w:ind/>
    </w:pPr>
    <w:rPr>
      <w:color w:val="404040"/>
      <w:sz w:val="20"/>
      <w:szCs w:val="2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Bordered"/>
    <w:basedOn w:val="744"/>
    <w:uiPriority w:val="99"/>
    <w:qFormat/>
    <w:pPr>
      <w:pBdr/>
      <w:spacing/>
      <w:ind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e7e7e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e7e7e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Bordered - Accent 1"/>
    <w:basedOn w:val="744"/>
    <w:uiPriority w:val="99"/>
    <w:pPr>
      <w:pBdr/>
      <w:spacing/>
      <w:ind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Bordered - Accent 2"/>
    <w:basedOn w:val="744"/>
    <w:uiPriority w:val="99"/>
    <w:pPr>
      <w:pBdr/>
      <w:spacing/>
      <w:ind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7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7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Bordered - Accent 3"/>
    <w:basedOn w:val="744"/>
    <w:uiPriority w:val="99"/>
    <w:pPr>
      <w:pBdr/>
      <w:spacing/>
      <w:ind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c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c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Bordered - Accent 4"/>
    <w:basedOn w:val="744"/>
    <w:uiPriority w:val="99"/>
    <w:qFormat/>
    <w:pPr>
      <w:pBdr/>
      <w:spacing/>
      <w:ind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Bordered - Accent 5"/>
    <w:basedOn w:val="744"/>
    <w:uiPriority w:val="99"/>
    <w:qFormat/>
    <w:pPr>
      <w:pBdr/>
      <w:spacing/>
      <w:ind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Bordered - Accent 6"/>
    <w:basedOn w:val="744"/>
    <w:uiPriority w:val="99"/>
    <w:pPr>
      <w:pBdr/>
      <w:spacing/>
      <w:ind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23" w:customStyle="1">
    <w:name w:val="Текст сноски Знак"/>
    <w:link w:val="755"/>
    <w:uiPriority w:val="99"/>
    <w:qFormat/>
    <w:pPr>
      <w:pBdr/>
      <w:spacing/>
      <w:ind/>
    </w:pPr>
    <w:rPr>
      <w:sz w:val="18"/>
    </w:rPr>
  </w:style>
  <w:style w:type="character" w:styleId="924" w:customStyle="1">
    <w:name w:val="Текст концевой сноски Знак"/>
    <w:link w:val="752"/>
    <w:uiPriority w:val="99"/>
    <w:qFormat/>
    <w:pPr>
      <w:pBdr/>
      <w:spacing/>
      <w:ind/>
    </w:pPr>
    <w:rPr>
      <w:sz w:val="20"/>
    </w:rPr>
  </w:style>
  <w:style w:type="paragraph" w:styleId="925" w:customStyle="1">
    <w:name w:val="TOC Heading"/>
    <w:uiPriority w:val="39"/>
    <w:unhideWhenUsed/>
    <w:qFormat/>
    <w:pPr>
      <w:pBdr/>
      <w:spacing/>
      <w:ind/>
    </w:pPr>
    <w:rPr>
      <w:rFonts w:ascii="Times New Roman" w:hAnsi="Times New Roman" w:eastAsia="Calibri" w:cs="Times New Roman"/>
      <w:sz w:val="24"/>
      <w:szCs w:val="24"/>
      <w:lang w:val="ru-RU" w:eastAsia="ru-RU" w:bidi="ar-SA"/>
    </w:rPr>
  </w:style>
  <w:style w:type="paragraph" w:styleId="926" w:customStyle="1">
    <w:name w:val="Заголовок 11"/>
    <w:basedOn w:val="739"/>
    <w:next w:val="739"/>
    <w:link w:val="931"/>
    <w:uiPriority w:val="0"/>
    <w:qFormat/>
    <w:pPr>
      <w:keepNext w:val="true"/>
      <w:pBdr/>
      <w:spacing/>
      <w:ind/>
      <w:outlineLvl w:val="0"/>
    </w:pPr>
    <w:rPr>
      <w:sz w:val="28"/>
    </w:rPr>
  </w:style>
  <w:style w:type="paragraph" w:styleId="927" w:customStyle="1">
    <w:name w:val="Заголовок 21"/>
    <w:basedOn w:val="739"/>
    <w:next w:val="739"/>
    <w:link w:val="932"/>
    <w:uiPriority w:val="0"/>
    <w:qFormat/>
    <w:pPr>
      <w:keepNext w:val="true"/>
      <w:pBdr/>
      <w:spacing/>
      <w:ind w:firstLine="250" w:left="2160"/>
      <w:outlineLvl w:val="1"/>
    </w:pPr>
    <w:rPr>
      <w:b/>
      <w:sz w:val="28"/>
    </w:rPr>
  </w:style>
  <w:style w:type="paragraph" w:styleId="928" w:customStyle="1">
    <w:name w:val="Заголовок 31"/>
    <w:basedOn w:val="739"/>
    <w:next w:val="739"/>
    <w:link w:val="933"/>
    <w:uiPriority w:val="0"/>
    <w:qFormat/>
    <w:pPr>
      <w:keepNext w:val="true"/>
      <w:pBdr/>
      <w:spacing/>
      <w:ind/>
      <w:jc w:val="center"/>
      <w:outlineLvl w:val="2"/>
    </w:pPr>
    <w:rPr>
      <w:b/>
      <w:sz w:val="32"/>
    </w:rPr>
  </w:style>
  <w:style w:type="paragraph" w:styleId="929" w:customStyle="1">
    <w:name w:val="Заголовок 61"/>
    <w:basedOn w:val="739"/>
    <w:next w:val="739"/>
    <w:link w:val="949"/>
    <w:uiPriority w:val="0"/>
    <w:qFormat/>
    <w:pPr>
      <w:keepNext w:val="true"/>
      <w:pBdr/>
      <w:spacing/>
      <w:ind/>
      <w:outlineLvl w:val="5"/>
    </w:pPr>
    <w:rPr>
      <w:sz w:val="24"/>
    </w:rPr>
  </w:style>
  <w:style w:type="paragraph" w:styleId="930" w:customStyle="1">
    <w:name w:val="Заголовок 71"/>
    <w:basedOn w:val="739"/>
    <w:next w:val="739"/>
    <w:link w:val="953"/>
    <w:uiPriority w:val="0"/>
    <w:semiHidden/>
    <w:unhideWhenUsed/>
    <w:qFormat/>
    <w:pPr>
      <w:keepNext w:val="true"/>
      <w:keepLines w:val="true"/>
      <w:pBdr/>
      <w:spacing w:before="200"/>
      <w:ind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styleId="931" w:customStyle="1">
    <w:name w:val="Заголовок 1 Знак"/>
    <w:basedOn w:val="743"/>
    <w:link w:val="926"/>
    <w:uiPriority w:val="0"/>
    <w:qFormat/>
    <w:pPr>
      <w:pBdr/>
      <w:spacing/>
      <w:ind/>
    </w:pPr>
    <w:rPr>
      <w:rFonts w:ascii="Times New Roman" w:hAnsi="Times New Roman" w:cs="Times New Roman"/>
      <w:sz w:val="20"/>
      <w:szCs w:val="20"/>
      <w:lang w:eastAsia="ru-RU"/>
    </w:rPr>
  </w:style>
  <w:style w:type="character" w:styleId="932" w:customStyle="1">
    <w:name w:val="Заголовок 2 Знак"/>
    <w:basedOn w:val="743"/>
    <w:link w:val="927"/>
    <w:uiPriority w:val="0"/>
    <w:qFormat/>
    <w:pPr>
      <w:pBdr/>
      <w:spacing/>
      <w:ind/>
    </w:pPr>
    <w:rPr>
      <w:rFonts w:ascii="Times New Roman" w:hAnsi="Times New Roman" w:cs="Times New Roman"/>
      <w:b/>
      <w:sz w:val="20"/>
      <w:szCs w:val="20"/>
      <w:lang w:eastAsia="ru-RU"/>
    </w:rPr>
  </w:style>
  <w:style w:type="character" w:styleId="933" w:customStyle="1">
    <w:name w:val="Заголовок 3 Знак"/>
    <w:basedOn w:val="743"/>
    <w:link w:val="928"/>
    <w:uiPriority w:val="0"/>
    <w:qFormat/>
    <w:pPr>
      <w:pBdr/>
      <w:spacing/>
      <w:ind/>
    </w:pPr>
    <w:rPr>
      <w:rFonts w:ascii="Times New Roman" w:hAnsi="Times New Roman" w:cs="Times New Roman"/>
      <w:b/>
      <w:sz w:val="20"/>
      <w:szCs w:val="20"/>
      <w:lang w:eastAsia="ru-RU"/>
    </w:rPr>
  </w:style>
  <w:style w:type="paragraph" w:styleId="934" w:customStyle="1">
    <w:name w:val="ConsPlusNonformat"/>
    <w:uiPriority w:val="0"/>
    <w:qFormat/>
    <w:pPr>
      <w:widowControl w:val="false"/>
      <w:pBdr/>
      <w:spacing/>
      <w:ind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styleId="935" w:customStyle="1">
    <w:name w:val="Нижний колонтитул1"/>
    <w:basedOn w:val="739"/>
    <w:link w:val="936"/>
    <w:uiPriority w:val="0"/>
    <w:qFormat/>
    <w:pPr>
      <w:pBdr/>
      <w:tabs>
        <w:tab w:val="center" w:leader="none" w:pos="4677"/>
        <w:tab w:val="right" w:leader="none" w:pos="9355"/>
      </w:tabs>
      <w:spacing/>
      <w:ind/>
    </w:pPr>
    <w:rPr>
      <w:sz w:val="24"/>
      <w:szCs w:val="24"/>
    </w:rPr>
  </w:style>
  <w:style w:type="character" w:styleId="936" w:customStyle="1">
    <w:name w:val="Нижний колонтитул Знак"/>
    <w:basedOn w:val="743"/>
    <w:link w:val="935"/>
    <w:uiPriority w:val="0"/>
    <w:qFormat/>
    <w:pPr>
      <w:pBdr/>
      <w:spacing/>
      <w:ind/>
    </w:pPr>
    <w:rPr>
      <w:rFonts w:ascii="Times New Roman" w:hAnsi="Times New Roman" w:cs="Times New Roman"/>
      <w:sz w:val="24"/>
      <w:szCs w:val="24"/>
      <w:lang w:eastAsia="ru-RU"/>
    </w:rPr>
  </w:style>
  <w:style w:type="paragraph" w:styleId="937">
    <w:name w:val="List Paragraph"/>
    <w:basedOn w:val="739"/>
    <w:uiPriority w:val="34"/>
    <w:qFormat/>
    <w:pPr>
      <w:pBdr/>
      <w:spacing/>
      <w:ind w:left="720"/>
      <w:contextualSpacing w:val="true"/>
    </w:pPr>
  </w:style>
  <w:style w:type="paragraph" w:styleId="938" w:customStyle="1">
    <w:name w:val="western"/>
    <w:basedOn w:val="739"/>
    <w:uiPriority w:val="0"/>
    <w:qFormat/>
    <w:pPr>
      <w:pBdr/>
      <w:spacing w:after="100" w:afterAutospacing="1" w:before="100" w:beforeAutospacing="1"/>
      <w:ind/>
    </w:pPr>
    <w:rPr>
      <w:sz w:val="24"/>
      <w:szCs w:val="24"/>
    </w:rPr>
  </w:style>
  <w:style w:type="character" w:styleId="939" w:customStyle="1">
    <w:name w:val="Body Text Char"/>
    <w:uiPriority w:val="99"/>
    <w:qFormat/>
    <w:pPr>
      <w:pBdr/>
      <w:spacing/>
      <w:ind/>
    </w:pPr>
    <w:rPr>
      <w:rFonts w:ascii="Times New Roman" w:hAnsi="Times New Roman"/>
      <w:sz w:val="27"/>
      <w:shd w:val="clear" w:color="auto" w:fill="ffffff"/>
    </w:rPr>
  </w:style>
  <w:style w:type="character" w:styleId="940" w:customStyle="1">
    <w:name w:val="Основной текст Знак1"/>
    <w:basedOn w:val="743"/>
    <w:link w:val="760"/>
    <w:uiPriority w:val="99"/>
    <w:qFormat/>
    <w:pPr>
      <w:pBdr/>
      <w:spacing/>
      <w:ind/>
    </w:pPr>
    <w:rPr>
      <w:rFonts w:ascii="Times New Roman" w:hAnsi="Times New Roman" w:cs="Times New Roman"/>
      <w:sz w:val="20"/>
      <w:szCs w:val="20"/>
    </w:rPr>
  </w:style>
  <w:style w:type="character" w:styleId="941" w:customStyle="1">
    <w:name w:val="Основной текст Знак"/>
    <w:basedOn w:val="743"/>
    <w:uiPriority w:val="99"/>
    <w:semiHidden/>
    <w:pPr>
      <w:pBdr/>
      <w:spacing/>
      <w:ind/>
    </w:pPr>
    <w:rPr>
      <w:rFonts w:ascii="Times New Roman" w:hAnsi="Times New Roman" w:cs="Times New Roman"/>
      <w:sz w:val="20"/>
      <w:szCs w:val="20"/>
      <w:lang w:eastAsia="ru-RU"/>
    </w:rPr>
  </w:style>
  <w:style w:type="character" w:styleId="942" w:customStyle="1">
    <w:name w:val="Основной текст + Курсив"/>
    <w:basedOn w:val="939"/>
    <w:uiPriority w:val="99"/>
    <w:pPr>
      <w:pBdr/>
      <w:spacing/>
      <w:ind/>
    </w:pPr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styleId="943" w:customStyle="1">
    <w:name w:val="Основной текст + 10 pt"/>
    <w:basedOn w:val="939"/>
    <w:uiPriority w:val="99"/>
    <w:pPr>
      <w:pBdr/>
      <w:spacing/>
      <w:ind/>
    </w:pPr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paragraph" w:styleId="944" w:customStyle="1">
    <w:name w:val="ConsPlusCell"/>
    <w:uiPriority w:val="0"/>
    <w:pPr>
      <w:widowControl w:val="false"/>
      <w:pBdr/>
      <w:spacing/>
      <w:ind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945" w:customStyle="1">
    <w:name w:val="Верхний колонтитул1"/>
    <w:basedOn w:val="739"/>
    <w:link w:val="946"/>
    <w:uiPriority w:val="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46" w:customStyle="1">
    <w:name w:val="Верхний колонтитул Знак"/>
    <w:basedOn w:val="743"/>
    <w:link w:val="945"/>
    <w:uiPriority w:val="0"/>
    <w:pPr>
      <w:pBdr/>
      <w:spacing/>
      <w:ind/>
    </w:pPr>
    <w:rPr>
      <w:rFonts w:ascii="Times New Roman" w:hAnsi="Times New Roman" w:cs="Times New Roman"/>
      <w:sz w:val="20"/>
      <w:szCs w:val="20"/>
      <w:lang w:eastAsia="ru-RU"/>
    </w:rPr>
  </w:style>
  <w:style w:type="character" w:styleId="947" w:customStyle="1">
    <w:name w:val="Основной текст 3 Знак"/>
    <w:basedOn w:val="743"/>
    <w:link w:val="771"/>
    <w:uiPriority w:val="99"/>
    <w:pPr>
      <w:pBdr/>
      <w:spacing/>
      <w:ind/>
    </w:pPr>
    <w:rPr>
      <w:rFonts w:ascii="Times New Roman" w:hAnsi="Times New Roman" w:cs="Times New Roman"/>
      <w:sz w:val="16"/>
      <w:szCs w:val="16"/>
      <w:lang w:eastAsia="ru-RU"/>
    </w:rPr>
  </w:style>
  <w:style w:type="character" w:styleId="948" w:customStyle="1">
    <w:name w:val="Текст выноски Знак"/>
    <w:basedOn w:val="743"/>
    <w:link w:val="751"/>
    <w:uiPriority w:val="99"/>
    <w:semiHidden/>
    <w:qFormat/>
    <w:pPr>
      <w:pBdr/>
      <w:spacing/>
      <w:ind/>
    </w:pPr>
    <w:rPr>
      <w:rFonts w:ascii="Tahoma" w:hAnsi="Tahoma" w:cs="Tahoma"/>
      <w:sz w:val="16"/>
      <w:szCs w:val="16"/>
      <w:lang w:eastAsia="ru-RU"/>
    </w:rPr>
  </w:style>
  <w:style w:type="character" w:styleId="949" w:customStyle="1">
    <w:name w:val="Заголовок 6 Знак"/>
    <w:basedOn w:val="743"/>
    <w:link w:val="929"/>
    <w:uiPriority w:val="0"/>
    <w:qFormat/>
    <w:pPr>
      <w:pBdr/>
      <w:spacing/>
      <w:ind/>
    </w:pPr>
    <w:rPr>
      <w:rFonts w:ascii="Times New Roman" w:hAnsi="Times New Roman" w:eastAsia="Times New Roman"/>
      <w:sz w:val="24"/>
      <w:szCs w:val="20"/>
    </w:rPr>
  </w:style>
  <w:style w:type="paragraph" w:styleId="950">
    <w:name w:val="No Spacing"/>
    <w:uiPriority w:val="99"/>
    <w:qFormat/>
    <w:pPr>
      <w:pBdr/>
      <w:spacing/>
      <w:ind/>
    </w:pPr>
    <w:rPr>
      <w:rFonts w:ascii="Times New Roman" w:hAnsi="Times New Roman" w:eastAsia="Calibri" w:cs="Times New Roman"/>
      <w:sz w:val="24"/>
      <w:szCs w:val="24"/>
      <w:lang w:val="ru-RU" w:eastAsia="en-US" w:bidi="ar-SA"/>
    </w:rPr>
  </w:style>
  <w:style w:type="character" w:styleId="951" w:customStyle="1">
    <w:name w:val="apple-converted-space"/>
    <w:basedOn w:val="743"/>
    <w:uiPriority w:val="0"/>
    <w:pPr>
      <w:pBdr/>
      <w:spacing/>
      <w:ind/>
    </w:pPr>
  </w:style>
  <w:style w:type="paragraph" w:styleId="952" w:customStyle="1">
    <w:name w:val="Содержимое таблицы"/>
    <w:basedOn w:val="739"/>
    <w:uiPriority w:val="0"/>
    <w:pPr>
      <w:suppressLineNumbers w:val="true"/>
      <w:pBdr/>
      <w:spacing/>
      <w:ind/>
    </w:pPr>
    <w:rPr>
      <w:rFonts w:ascii="Arial" w:hAnsi="Arial" w:eastAsia="SimSun" w:cs="Mangal"/>
      <w:szCs w:val="24"/>
      <w:lang w:eastAsia="hi-IN" w:bidi="hi-IN"/>
    </w:rPr>
  </w:style>
  <w:style w:type="character" w:styleId="953" w:customStyle="1">
    <w:name w:val="Заголовок 7 Знак"/>
    <w:basedOn w:val="743"/>
    <w:link w:val="930"/>
    <w:uiPriority w:val="0"/>
    <w:semiHidden/>
    <w:pPr>
      <w:pBdr/>
      <w:spacing/>
      <w:ind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styleId="954" w:customStyle="1">
    <w:name w:val="Верхний колонтитул Знак1"/>
    <w:basedOn w:val="743"/>
    <w:link w:val="757"/>
    <w:uiPriority w:val="99"/>
    <w:semiHidden/>
    <w:pPr>
      <w:pBdr/>
      <w:spacing/>
      <w:ind/>
    </w:pPr>
    <w:rPr>
      <w:rFonts w:eastAsia="Times New Roman"/>
      <w:sz w:val="20"/>
      <w:szCs w:val="20"/>
    </w:rPr>
  </w:style>
  <w:style w:type="character" w:styleId="955" w:customStyle="1">
    <w:name w:val="Нижний колонтитул Знак1"/>
    <w:basedOn w:val="743"/>
    <w:link w:val="769"/>
    <w:uiPriority w:val="99"/>
    <w:semiHidden/>
    <w:pPr>
      <w:pBdr/>
      <w:spacing/>
      <w:ind/>
    </w:pPr>
    <w:rPr>
      <w:rFonts w:eastAsia="Times New Roman"/>
      <w:sz w:val="20"/>
      <w:szCs w:val="20"/>
    </w:rPr>
  </w:style>
  <w:style w:type="character" w:styleId="956" w:customStyle="1">
    <w:name w:val="Заголовок 2 Знак1"/>
    <w:basedOn w:val="743"/>
    <w:link w:val="741"/>
    <w:uiPriority w:val="0"/>
    <w:pPr>
      <w:pBdr/>
      <w:spacing/>
      <w:ind/>
    </w:pPr>
    <w:rPr>
      <w:rFonts w:eastAsia="Times New Roman"/>
      <w:sz w:val="28"/>
      <w:szCs w:val="20"/>
    </w:rPr>
  </w:style>
  <w:style w:type="character" w:styleId="957" w:customStyle="1">
    <w:name w:val="Заголовок 7 Знак1"/>
    <w:basedOn w:val="743"/>
    <w:link w:val="742"/>
    <w:uiPriority w:val="0"/>
    <w:pPr>
      <w:pBdr/>
      <w:spacing/>
      <w:ind/>
    </w:pPr>
    <w:rPr>
      <w:rFonts w:ascii="Arial" w:hAnsi="Arial" w:eastAsia="Times New Roman"/>
      <w:b/>
      <w:szCs w:val="20"/>
    </w:rPr>
  </w:style>
  <w:style w:type="character" w:styleId="958" w:customStyle="1">
    <w:name w:val="Основной текст с отступом 2 Знак"/>
    <w:basedOn w:val="743"/>
    <w:link w:val="772"/>
    <w:uiPriority w:val="99"/>
    <w:semiHidden/>
    <w:pPr>
      <w:pBdr/>
      <w:spacing/>
      <w:ind/>
    </w:pPr>
    <w:rPr>
      <w:rFonts w:eastAsia="Times New Roman"/>
      <w:sz w:val="20"/>
      <w:szCs w:val="20"/>
    </w:rPr>
  </w:style>
  <w:style w:type="character" w:styleId="959" w:customStyle="1">
    <w:name w:val="Текст примечания Знак"/>
    <w:basedOn w:val="743"/>
    <w:link w:val="753"/>
    <w:uiPriority w:val="99"/>
    <w:semiHidden/>
    <w:pPr>
      <w:pBdr/>
      <w:spacing/>
      <w:ind/>
    </w:pPr>
    <w:rPr>
      <w:rFonts w:eastAsia="Times New Roman"/>
      <w:sz w:val="20"/>
      <w:szCs w:val="20"/>
    </w:rPr>
  </w:style>
  <w:style w:type="character" w:styleId="960" w:customStyle="1">
    <w:name w:val="Тема примечания Знак"/>
    <w:basedOn w:val="959"/>
    <w:link w:val="754"/>
    <w:uiPriority w:val="99"/>
    <w:semiHidden/>
    <w:pPr>
      <w:pBdr/>
      <w:spacing/>
      <w:ind/>
    </w:pPr>
    <w:rPr>
      <w:rFonts w:eastAsia="Times New Roman"/>
      <w:b/>
      <w:bCs/>
      <w:sz w:val="20"/>
      <w:szCs w:val="20"/>
    </w:rPr>
  </w:style>
  <w:style w:type="character" w:styleId="961" w:customStyle="1">
    <w:name w:val="Заголовок 1 Знак1"/>
    <w:basedOn w:val="743"/>
    <w:link w:val="740"/>
    <w:uiPriority w:val="9"/>
    <w:pPr>
      <w:pBdr/>
      <w:spacing/>
      <w:ind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styleId="962" w:customStyle="1">
    <w:name w:val="js_news_content"/>
    <w:uiPriority w:val="0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footer" Target="footer4.xml" /><Relationship Id="rId17" Type="http://schemas.openxmlformats.org/officeDocument/2006/relationships/customXml" Target="../customXml/item1.xml" /><Relationship Id="rId18" Type="http://schemas.openxmlformats.org/officeDocument/2006/relationships/customXml" Target="../customXml/item2.xml" /><Relationship Id="rId1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822330D4-A8D5-4CC1-B798-6AF44224FDCF}"/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SPecialiST RePack</Company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120</cp:revision>
  <dcterms:created xsi:type="dcterms:W3CDTF">2024-11-08T05:20:00Z</dcterms:created>
  <dcterms:modified xsi:type="dcterms:W3CDTF">2025-05-29T03:55:08Z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18FB013439E04BEFB93561CE7D4B405B_13</vt:lpwstr>
  </property>
</Properties>
</file>