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8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09600"/>
                <wp:effectExtent l="19050" t="0" r="0" b="0"/>
                <wp:docPr id="1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50pt;height:48.00pt;mso-wrap-distance-left:0.00pt;mso-wrap-distance-top:0.00pt;mso-wrap-distance-right:0.00pt;mso-wrap-distance-bottom:0.00pt;z-index:1;" stroked="f" strokeweight="0.75pt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Style w:val="848"/>
        <w:pBdr/>
        <w:spacing/>
        <w:ind w:firstLine="0" w:left="0"/>
        <w:jc w:val="center"/>
        <w:rPr>
          <w:b w:val="0"/>
          <w:szCs w:val="28"/>
        </w:rPr>
      </w:pPr>
      <w:r>
        <w:rPr>
          <w:b w:val="0"/>
          <w:szCs w:val="28"/>
        </w:rPr>
        <w:t xml:space="preserve">АДМИНИСТРАЦИЯ ГОРОДА </w:t>
      </w:r>
      <w:r>
        <w:rPr>
          <w:b w:val="0"/>
          <w:szCs w:val="28"/>
        </w:rPr>
        <w:t xml:space="preserve">НОВОАЛТАЙСКА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47"/>
        <w:pBdr/>
        <w:spacing/>
        <w:ind/>
        <w:jc w:val="center"/>
        <w:rPr>
          <w:szCs w:val="28"/>
        </w:rPr>
      </w:pPr>
      <w:r>
        <w:rPr>
          <w:szCs w:val="28"/>
        </w:rPr>
        <w:t xml:space="preserve">АЛТАЙСКОГО </w:t>
      </w:r>
      <w:r>
        <w:rPr>
          <w:szCs w:val="28"/>
        </w:rPr>
        <w:t xml:space="preserve">КРАЯ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4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г. Новоалтайск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  <w:tab/>
        <w:t xml:space="preserve">       </w:t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№ __</w:t>
      </w:r>
      <w:r>
        <w:rPr>
          <w:b/>
          <w:sz w:val="28"/>
          <w:szCs w:val="28"/>
        </w:rPr>
        <w:t xml:space="preserve">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219"/>
      </w:tblGrid>
      <w:tr>
        <w:trPr>
          <w:trHeight w:val="1373"/>
        </w:trPr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создании межведомственной комиссии по поддержке участников специальной военной операции и членов их семей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во исполнение пункта 1 перечня поручений по реализации Послания Президента Российской Федерации Фед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еральному Собранию Российской Федерации от 21.02.2023 г, утвержденного Президентом Россий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Федерации 15.03.2023 № Пр-528, в целях организации адресного сопровождения участников специальной военной операции и членов их семей, в соответствии с Уставом мун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Алтайского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п о с т а н о в л я ю: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20"/>
        <w:numPr>
          <w:ilvl w:val="0"/>
          <w:numId w:val="3"/>
        </w:numPr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Положение о межведомственной комиссии по поддержке участников специальной военной операции и членов их семей на территории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Алтайского края (Приложение 1).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0"/>
        <w:numPr>
          <w:ilvl w:val="0"/>
          <w:numId w:val="3"/>
        </w:numPr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состав межведомственной комиссии по поддержке участников специальной военной операции и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членов их семей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(Приложение 2).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0"/>
        <w:numPr>
          <w:ilvl w:val="0"/>
          <w:numId w:val="3"/>
        </w:numPr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820"/>
        <w:numPr>
          <w:ilvl w:val="0"/>
          <w:numId w:val="3"/>
        </w:numPr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Ерохину Н.Г.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города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В.Г. Бодунов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  <w:br w:type="page" w:clear="all"/>
      </w:r>
      <w:r>
        <w:rPr>
          <w:sz w:val="28"/>
        </w:rPr>
        <w:t xml:space="preserve">СОГЛАСОВАНО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  <w:t xml:space="preserve">Заместитель  главы Администрации города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Н</w:t>
      </w:r>
      <w:r>
        <w:rPr>
          <w:sz w:val="28"/>
        </w:rPr>
        <w:t xml:space="preserve">.В. </w:t>
      </w:r>
      <w:r>
        <w:rPr>
          <w:sz w:val="28"/>
        </w:rPr>
        <w:t xml:space="preserve">Щепин</w:t>
      </w:r>
      <w:r>
        <w:rPr>
          <w:sz w:val="28"/>
        </w:rPr>
        <w:t xml:space="preserve">а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  <w:t xml:space="preserve">Заместитель  главы Администрации города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Н.Г</w:t>
      </w:r>
      <w:r>
        <w:rPr>
          <w:sz w:val="28"/>
        </w:rPr>
        <w:t xml:space="preserve">. </w:t>
      </w:r>
      <w:r>
        <w:rPr>
          <w:sz w:val="28"/>
        </w:rPr>
        <w:t xml:space="preserve">Ерохина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             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 </w:t>
      </w:r>
      <w:r>
        <w:rPr>
          <w:sz w:val="28"/>
        </w:rPr>
        <w:t xml:space="preserve">О.Б</w:t>
      </w:r>
      <w:r>
        <w:rPr>
          <w:sz w:val="28"/>
        </w:rPr>
        <w:t xml:space="preserve">. </w:t>
      </w:r>
      <w:r>
        <w:rPr>
          <w:sz w:val="28"/>
        </w:rPr>
        <w:t xml:space="preserve">Бочарникова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Направить: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Отдел по соц.вопросам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Прокуратура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Комитет по имуществу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Комитет ЖКГХЭТС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Комитет по образованию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Комитет по культуре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Комитет по физической культуре и спорту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Колесникова Ксения Владимировна,</w:t>
      </w:r>
      <w:r/>
    </w:p>
    <w:p>
      <w:pPr>
        <w:pBdr/>
        <w:spacing/>
        <w:ind/>
        <w:rPr>
          <w:highlight w:val="none"/>
        </w:rPr>
      </w:pPr>
      <w:r>
        <w:t xml:space="preserve">2-</w:t>
      </w:r>
      <w:r>
        <w:t xml:space="preserve">58</w:t>
      </w:r>
      <w:r>
        <w:t xml:space="preserve">-3</w:t>
      </w:r>
      <w:r>
        <w:t xml:space="preserve">4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от_______2025 № 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 межведомственной комиссии по поддержке участников специальной военной операции и членов их семей на территории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Алтайского края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/>
        <w:spacing/>
        <w:ind/>
        <w:jc w:val="lef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20"/>
        <w:numPr>
          <w:ilvl w:val="0"/>
          <w:numId w:val="4"/>
        </w:num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Общие положения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определяет полномочия и порядок организации деятельности межведомственной комиссии по поддержке участников специальной военной операции и членов их семей на территории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 Алтайского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комиссия).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Комиссия является координацион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ным, совещательным органом, образованным для обеспечения согласованных действий между структурными подразделениями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Алтайского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органами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Алтайского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организациями и общественными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объединениями, осуществляющими деятельность на территории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Алтайского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вопросам поддержки участников специальной военной операции и членов их семей. Решения указанной комиссии носят рекомендательный характер.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Комиссия в своей деятельности руковод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ствуется действующим законодательством Российской Федерации и Алтайского края, муниципальными правовыми актами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Алтайского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том числе настоящим Положением о комиссии.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Задачи и полномочия комиссии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 Основными задачами комиссии являются: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рассмо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трение вопросов оказания адресной поддержки участникам специальной военной операции (далее – СВО) и (или) членам их семей; подготовка предложений по оказанию помощи участникам СВО и (или) членам их семей;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 исполнения рекомендаций комиссии органам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Алтайского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Для реализации возложенных на нее задач комиссия обладает следующими полномочиями: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приглашать на свои заседания руководителей (или иных представителей) исполнительных органов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rtl w:val="0"/>
        </w:rPr>
        <w:t xml:space="preserve"> Алтайского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органов мест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ного самоуправления, организаций, учреждений, общественных объединений и волонтерских групп;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участвовать в разработке проектов муниципальных нормативных правовых актов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Алтайского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иных документов по вопросам деятельности комиссии.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3. Организация 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ятельности комиссии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 Состав комиссии утверждается и изменяется постановлением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дминистрации города Новоалтайска.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 Основной формой деятельности комиссии являются заседания, которые проводятся по мере необходимости, но не реже одного раза в квартал и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читаются правомочными, если на них присутствует более половины членов комиссии.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3.3. В состав комиссии входят председатель, заместитель председателя, секретарь и иные члены комиссии.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3.4. В состав комиссии включаются: представители органов местного самоупр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авления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город Новоалтайск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Алтайского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руководители общественных организаций и волонтерских групп.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3.5. Председатель комиссии руководит деятельностью комиссии, проводит ее заседания, дает поручения членам комиссии, обеспечивает и контролирует выполнение принятых комис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сией решений.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3.6. Заместитель председателя комиссии исполняет обязанности председателя комиссии в случае его отсутствия или по его поручению, знакомится с материалами, лично участвует в заседаниях комиссии, а также выполняет иные полномочия по вопросам 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ятельности комиссии.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3.7. Секретарь комиссии: уведомляет не позднее, чем за 3 (три) рабочих дня до проведения заседания членов комиссии и приглашенных лиц о месте, дате, времени проведения и повестке заседания по электронной почте (при наличии) или по конт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актному номеру телефона (в случае отсутствия электронной почты); формирует повестку заседания комиссии и представляет ее председателю комиссии для утверждения и назначения даты заседания комиссии не позднее чем за 5 (пять) рабочих дней до проведения заседа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комиссии; выполняет иные полномочия по вопросам деятельности комиссии. В случае отсутствия секретаря комиссии его полномочия исполняет иной член комиссии, назначенный председателем комиссии.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3.8. Члены комиссии участвуют в ее деятельности, вносят предл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ожения по возникающим вопросам, а также выполняют иные полномочия по вопросам деятельности комиссии.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3.9. Решения комиссии принимаются открытым голосованием, простым большинством голосов присутствующих на заседании членов комиссии. При голосовании каждый 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 комиссии имеет один голос. При равенстве голосов членов комиссии голос председательствующего на заседании комиссии является решающим.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3.10. Протоколы заседаний комиссии подписываются председателем комиссии и секретарем комиссии в течение 3 (трех) рабоч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 дней со дня проведения заседания комиссии.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3.11. Организационное обеспечение деятельности комиссии осуществляется Администрацией города Новоалтайска.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от_______2025 № 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межведомственной комиссии по поддержке участников специальной военной операции и членов их семей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 комиссии: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Ерохина Наталья Геннадьевна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заместитель главы Администрации города по социальной политике;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заместитель председателя комиссии: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Светлова Юлия Владимировна - заведующий отделом по социальным вопросам комитета по социальным вопросам Администрации города;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секретарь комиссии: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Колесникова Ксения Владимировна</w:t>
      </w:r>
      <w: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заведующий отделом по делам молодежи комитета по социальным вопросам Администрации города.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Члены комиссии: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858"/>
        <w:tblW w:w="0" w:type="auto"/>
        <w:tblBorders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Вальковская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Светлана Леонидовна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КГКУ «Управление социальной защиты населения по городу Новоалтайску и Первомайскому району»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Ворожцова Ольга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социальный координатор краевого филиала государственного ф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онда «Защитники Отечества»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Гусев Владислав Борисович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военный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комиссар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города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Новоалтайска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Косихинского и Первомайского района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Егошина Алена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директор КГБУСО «Комплексный центр социального обслуживания населения города Новоалтайска»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Зубков Никита Геннадьевич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председатель комитета по физической культуре и спорту Администрации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Илющенко Анатолий Дмитриевич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председатель городского Совета ветеранов войны, труда, вооруженных сил и правоохранительных органов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Лукьянченко Валентина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комитета по культуре Администрации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Молодых Марина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заместитель председателя комитета ЖКГХЭТС Администрации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Палкина Наталья Юрьевна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Центра занятости населения КГКУ УСЗН по городу Новоалтайску и Первомайскому району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Поддубская Лариса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руководитель клиентской службы СФ РФ в г. Новоалтайске и Первомайском районе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Ракитина Людмила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председатель комитета по управлению  имуществом Администрации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Стась Юрий Олегович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председатель комитета по образованию Администрации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Федорюк Константин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главный врач КГБУЗ «Городская больница имени Л.Я.Литвиненко, г.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Новоалтайск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Чайка Ольга Леонидовна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представитель (доверенное лицо) Уполномоченного по правам человека в Алтайск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ом крае в городе Новоалтайске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 Light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1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2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1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2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3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5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6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9">
    <w:name w:val="Heading 4"/>
    <w:basedOn w:val="846"/>
    <w:next w:val="846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0">
    <w:name w:val="Heading 5"/>
    <w:basedOn w:val="846"/>
    <w:next w:val="846"/>
    <w:link w:val="8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1">
    <w:name w:val="Heading 6"/>
    <w:basedOn w:val="846"/>
    <w:next w:val="846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2">
    <w:name w:val="Heading 7"/>
    <w:basedOn w:val="846"/>
    <w:next w:val="846"/>
    <w:link w:val="81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3">
    <w:name w:val="Heading 8"/>
    <w:basedOn w:val="846"/>
    <w:next w:val="846"/>
    <w:link w:val="81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4">
    <w:name w:val="Heading 9"/>
    <w:basedOn w:val="846"/>
    <w:next w:val="846"/>
    <w:link w:val="81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5">
    <w:name w:val="Heading 1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6">
    <w:name w:val="Heading 2 Char"/>
    <w:basedOn w:val="850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7">
    <w:name w:val="Heading 3 Char"/>
    <w:basedOn w:val="850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8">
    <w:name w:val="Heading 4 Char"/>
    <w:basedOn w:val="850"/>
    <w:link w:val="79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9">
    <w:name w:val="Heading 5 Char"/>
    <w:basedOn w:val="850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0">
    <w:name w:val="Heading 6 Char"/>
    <w:basedOn w:val="850"/>
    <w:link w:val="80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1">
    <w:name w:val="Heading 7 Char"/>
    <w:basedOn w:val="850"/>
    <w:link w:val="80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2">
    <w:name w:val="Heading 8 Char"/>
    <w:basedOn w:val="850"/>
    <w:link w:val="8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3">
    <w:name w:val="Heading 9 Char"/>
    <w:basedOn w:val="850"/>
    <w:link w:val="8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4">
    <w:name w:val="Title"/>
    <w:basedOn w:val="846"/>
    <w:next w:val="846"/>
    <w:link w:val="81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5">
    <w:name w:val="Title Char"/>
    <w:basedOn w:val="850"/>
    <w:link w:val="8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6">
    <w:name w:val="Subtitle"/>
    <w:basedOn w:val="846"/>
    <w:next w:val="846"/>
    <w:link w:val="81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7">
    <w:name w:val="Subtitle Char"/>
    <w:basedOn w:val="850"/>
    <w:link w:val="8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8">
    <w:name w:val="Quote"/>
    <w:basedOn w:val="846"/>
    <w:next w:val="846"/>
    <w:link w:val="81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9">
    <w:name w:val="Quote Char"/>
    <w:basedOn w:val="850"/>
    <w:link w:val="81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0">
    <w:name w:val="List Paragraph"/>
    <w:basedOn w:val="846"/>
    <w:uiPriority w:val="34"/>
    <w:qFormat/>
    <w:pPr>
      <w:pBdr/>
      <w:spacing/>
      <w:ind w:left="720"/>
      <w:contextualSpacing w:val="true"/>
    </w:pPr>
  </w:style>
  <w:style w:type="character" w:styleId="821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2">
    <w:name w:val="Intense Quote"/>
    <w:basedOn w:val="846"/>
    <w:next w:val="846"/>
    <w:link w:val="82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3">
    <w:name w:val="Intense Quote Char"/>
    <w:basedOn w:val="850"/>
    <w:link w:val="8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4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5">
    <w:name w:val="No Spacing"/>
    <w:basedOn w:val="846"/>
    <w:uiPriority w:val="1"/>
    <w:qFormat/>
    <w:pPr>
      <w:pBdr/>
      <w:spacing w:after="0" w:line="240" w:lineRule="auto"/>
      <w:ind/>
    </w:pPr>
  </w:style>
  <w:style w:type="character" w:styleId="826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7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28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29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0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1">
    <w:name w:val="Header"/>
    <w:basedOn w:val="846"/>
    <w:link w:val="83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2">
    <w:name w:val="Header Char"/>
    <w:basedOn w:val="850"/>
    <w:link w:val="831"/>
    <w:uiPriority w:val="99"/>
    <w:pPr>
      <w:pBdr/>
      <w:spacing/>
      <w:ind/>
    </w:pPr>
  </w:style>
  <w:style w:type="paragraph" w:styleId="833">
    <w:name w:val="Footer"/>
    <w:basedOn w:val="846"/>
    <w:link w:val="83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4">
    <w:name w:val="Footer Char"/>
    <w:basedOn w:val="850"/>
    <w:link w:val="833"/>
    <w:uiPriority w:val="99"/>
    <w:pPr>
      <w:pBdr/>
      <w:spacing/>
      <w:ind/>
    </w:pPr>
  </w:style>
  <w:style w:type="paragraph" w:styleId="835">
    <w:name w:val="Caption"/>
    <w:basedOn w:val="846"/>
    <w:next w:val="84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6">
    <w:name w:val="footnote text"/>
    <w:basedOn w:val="846"/>
    <w:link w:val="8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7">
    <w:name w:val="Footnote Text Char"/>
    <w:basedOn w:val="850"/>
    <w:link w:val="836"/>
    <w:uiPriority w:val="99"/>
    <w:semiHidden/>
    <w:pPr>
      <w:pBdr/>
      <w:spacing/>
      <w:ind/>
    </w:pPr>
    <w:rPr>
      <w:sz w:val="20"/>
      <w:szCs w:val="20"/>
    </w:rPr>
  </w:style>
  <w:style w:type="character" w:styleId="838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39">
    <w:name w:val="endnote text"/>
    <w:basedOn w:val="846"/>
    <w:link w:val="8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0">
    <w:name w:val="Endnote Text Char"/>
    <w:basedOn w:val="850"/>
    <w:link w:val="839"/>
    <w:uiPriority w:val="99"/>
    <w:semiHidden/>
    <w:pPr>
      <w:pBdr/>
      <w:spacing/>
      <w:ind/>
    </w:pPr>
    <w:rPr>
      <w:sz w:val="20"/>
      <w:szCs w:val="20"/>
    </w:rPr>
  </w:style>
  <w:style w:type="character" w:styleId="841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42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3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4">
    <w:name w:val="TOC Heading"/>
    <w:uiPriority w:val="39"/>
    <w:unhideWhenUsed/>
    <w:pPr>
      <w:pBdr/>
      <w:spacing/>
      <w:ind/>
    </w:pPr>
  </w:style>
  <w:style w:type="paragraph" w:styleId="845">
    <w:name w:val="table of figures"/>
    <w:basedOn w:val="846"/>
    <w:next w:val="846"/>
    <w:uiPriority w:val="99"/>
    <w:unhideWhenUsed/>
    <w:pPr>
      <w:pBdr/>
      <w:spacing w:after="0" w:afterAutospacing="0"/>
      <w:ind/>
    </w:pPr>
  </w:style>
  <w:style w:type="paragraph" w:styleId="846" w:default="1">
    <w:name w:val="Normal"/>
    <w:qFormat/>
    <w:pPr>
      <w:pBdr/>
      <w:spacing/>
      <w:ind/>
    </w:pPr>
  </w:style>
  <w:style w:type="paragraph" w:styleId="847">
    <w:name w:val="Heading 1"/>
    <w:basedOn w:val="846"/>
    <w:next w:val="846"/>
    <w:qFormat/>
    <w:pPr>
      <w:keepNext w:val="true"/>
      <w:pBdr/>
      <w:spacing/>
      <w:ind/>
      <w:outlineLvl w:val="0"/>
    </w:pPr>
    <w:rPr>
      <w:sz w:val="28"/>
    </w:rPr>
  </w:style>
  <w:style w:type="paragraph" w:styleId="848">
    <w:name w:val="Heading 2"/>
    <w:basedOn w:val="846"/>
    <w:next w:val="846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9">
    <w:name w:val="Heading 3"/>
    <w:basedOn w:val="846"/>
    <w:next w:val="846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table" w:styleId="85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 w:default="1">
    <w:name w:val="No List"/>
    <w:uiPriority w:val="99"/>
    <w:semiHidden/>
    <w:unhideWhenUsed/>
    <w:pPr>
      <w:pBdr/>
      <w:spacing/>
      <w:ind/>
    </w:pPr>
  </w:style>
  <w:style w:type="paragraph" w:styleId="853">
    <w:name w:val="Body Text 2"/>
    <w:basedOn w:val="846"/>
    <w:pPr>
      <w:pBdr/>
      <w:spacing w:after="120" w:line="480" w:lineRule="auto"/>
      <w:ind/>
    </w:pPr>
  </w:style>
  <w:style w:type="paragraph" w:styleId="854">
    <w:name w:val="Body Text"/>
    <w:basedOn w:val="846"/>
    <w:link w:val="855"/>
    <w:pPr>
      <w:pBdr/>
      <w:spacing w:after="120"/>
      <w:ind/>
    </w:pPr>
  </w:style>
  <w:style w:type="character" w:styleId="855" w:customStyle="1">
    <w:name w:val="Основной текст Знак"/>
    <w:basedOn w:val="850"/>
    <w:link w:val="854"/>
    <w:pPr>
      <w:pBdr/>
      <w:spacing/>
      <w:ind/>
    </w:pPr>
  </w:style>
  <w:style w:type="paragraph" w:styleId="856">
    <w:name w:val="Balloon Text"/>
    <w:basedOn w:val="846"/>
    <w:link w:val="857"/>
    <w:pPr>
      <w:pBdr/>
      <w:spacing/>
      <w:ind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50"/>
    <w:link w:val="856"/>
    <w:pPr>
      <w:pBdr/>
      <w:spacing/>
      <w:ind/>
    </w:pPr>
    <w:rPr>
      <w:rFonts w:ascii="Tahoma" w:hAnsi="Tahoma" w:cs="Tahoma"/>
      <w:sz w:val="16"/>
      <w:szCs w:val="16"/>
    </w:rPr>
  </w:style>
  <w:style w:type="table" w:styleId="858">
    <w:name w:val="Table Grid"/>
    <w:basedOn w:val="851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 w:customStyle="1">
    <w:name w:val="Основной текст"/>
    <w:basedOn w:val="849"/>
    <w:next w:val="857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НВЧекалина</dc:creator>
  <cp:revision>9</cp:revision>
  <dcterms:created xsi:type="dcterms:W3CDTF">2024-07-11T08:08:00Z</dcterms:created>
  <dcterms:modified xsi:type="dcterms:W3CDTF">2025-07-18T04:23:40Z</dcterms:modified>
</cp:coreProperties>
</file>