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B8" w:rsidRDefault="00C430B8" w:rsidP="00283F74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430B8" w:rsidRDefault="00C430B8" w:rsidP="00283F74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Pr="00283F74">
        <w:rPr>
          <w:b/>
          <w:sz w:val="28"/>
          <w:szCs w:val="28"/>
        </w:rPr>
        <w:t>отдела по развитию предпринимательства и рыночной инфраструктуры</w:t>
      </w:r>
      <w:r>
        <w:rPr>
          <w:sz w:val="28"/>
          <w:szCs w:val="28"/>
        </w:rPr>
        <w:t xml:space="preserve"> комитета по экономической политики и инвестициям Администрации города Новоалтайска за 2023 года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полномочиями отдела является продвижение единой государственной политики по поддержке и развитию малого и среднего предпринимательств и потребительского рынка на территории города Новоалтайска в соответствии с действующими положениями и должностными инструкциями. Работа выстраивается на основании действующих нормативно-правовых актов Российской Федерации, законов Алтайского края и постановлений Администрации города Новоалтайска.</w:t>
      </w:r>
    </w:p>
    <w:p w:rsidR="00C430B8" w:rsidRPr="00F97BEF" w:rsidRDefault="00C430B8" w:rsidP="00283F74">
      <w:pPr>
        <w:pStyle w:val="ListParagraphChar"/>
        <w:ind w:firstLine="709"/>
        <w:jc w:val="both"/>
        <w:rPr>
          <w:noProof w:val="0"/>
          <w:sz w:val="28"/>
          <w:szCs w:val="28"/>
          <w:vertAlign w:val="baseline"/>
        </w:rPr>
      </w:pPr>
      <w:r w:rsidRPr="00F97BEF">
        <w:rPr>
          <w:noProof w:val="0"/>
          <w:sz w:val="28"/>
          <w:szCs w:val="28"/>
          <w:vertAlign w:val="baseline"/>
        </w:rPr>
        <w:t xml:space="preserve">В рамках реализации муниципальной программы «Поддержка </w:t>
      </w:r>
      <w:r w:rsidRPr="00F97BEF">
        <w:rPr>
          <w:noProof w:val="0"/>
          <w:sz w:val="28"/>
          <w:szCs w:val="28"/>
          <w:vertAlign w:val="baseline"/>
        </w:rPr>
        <w:br/>
        <w:t xml:space="preserve">и развитие малого и среднего предпринимательства на территории города Новоалтайска на 2021-2025 годы» </w:t>
      </w:r>
      <w:r>
        <w:rPr>
          <w:noProof w:val="0"/>
          <w:sz w:val="28"/>
          <w:szCs w:val="28"/>
          <w:vertAlign w:val="baseline"/>
        </w:rPr>
        <w:t xml:space="preserve">отделом </w:t>
      </w:r>
      <w:r w:rsidRPr="00F97BEF">
        <w:rPr>
          <w:noProof w:val="0"/>
          <w:sz w:val="28"/>
          <w:szCs w:val="28"/>
          <w:vertAlign w:val="baseline"/>
        </w:rPr>
        <w:t>проведены мероприятия: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 w:rsidRPr="00F97BEF">
        <w:rPr>
          <w:sz w:val="28"/>
          <w:szCs w:val="28"/>
        </w:rPr>
        <w:t>На базе отдела по</w:t>
      </w:r>
      <w:r>
        <w:rPr>
          <w:sz w:val="28"/>
          <w:szCs w:val="28"/>
        </w:rPr>
        <w:t xml:space="preserve"> развитию предпринимательства в рамках Соглашения </w:t>
      </w:r>
      <w:r>
        <w:rPr>
          <w:sz w:val="28"/>
          <w:szCs w:val="28"/>
        </w:rPr>
        <w:br/>
        <w:t xml:space="preserve">с 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«</w:t>
      </w:r>
      <w:r>
        <w:rPr>
          <w:position w:val="2"/>
          <w:sz w:val="28"/>
          <w:szCs w:val="28"/>
        </w:rPr>
        <w:t>Алтайского Фонда развития малого и среднего предпринимательства</w:t>
      </w:r>
      <w:r>
        <w:rPr>
          <w:sz w:val="28"/>
          <w:szCs w:val="28"/>
        </w:rPr>
        <w:t xml:space="preserve">» работает информационно-консультационный центр, за 2023 год проведено 487 консультаций. В ходе проведения консультационной работы отдела зарегистрировались 2 юридических лица, 5 индивидуальных предпринимателей и 9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.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</w:t>
      </w:r>
      <w:proofErr w:type="gramStart"/>
      <w:r>
        <w:rPr>
          <w:sz w:val="28"/>
          <w:szCs w:val="28"/>
        </w:rPr>
        <w:t>информационно-консультационная</w:t>
      </w:r>
      <w:proofErr w:type="gramEnd"/>
      <w:r>
        <w:rPr>
          <w:sz w:val="28"/>
          <w:szCs w:val="28"/>
        </w:rPr>
        <w:t xml:space="preserve"> поддержки входит предоставление информации субъектам предпринимательской деятельности </w:t>
      </w:r>
      <w:r>
        <w:rPr>
          <w:sz w:val="28"/>
          <w:szCs w:val="28"/>
        </w:rPr>
        <w:br/>
        <w:t xml:space="preserve">по вопросам ведения финансово-хозяйственной, взаимодействие с органами государственной власти и финансовой поддержки на территории Алтайского края. 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2019 года Администрация города не оказывает финансовой поддержки </w:t>
      </w:r>
      <w:proofErr w:type="spellStart"/>
      <w:r>
        <w:rPr>
          <w:sz w:val="28"/>
          <w:szCs w:val="28"/>
        </w:rPr>
        <w:t>СМП</w:t>
      </w:r>
      <w:proofErr w:type="spellEnd"/>
      <w:r>
        <w:rPr>
          <w:sz w:val="28"/>
          <w:szCs w:val="28"/>
        </w:rPr>
        <w:t xml:space="preserve">, вместе с тем, отделом проводится активное консультирование предпринимателей о возможности участия в краевых программах. </w:t>
      </w:r>
      <w:r w:rsidRPr="00283F74">
        <w:rPr>
          <w:sz w:val="28"/>
          <w:szCs w:val="28"/>
        </w:rPr>
        <w:t xml:space="preserve">В 2023 году </w:t>
      </w:r>
      <w:r w:rsidRPr="00283F74">
        <w:rPr>
          <w:color w:val="000000"/>
          <w:sz w:val="28"/>
          <w:szCs w:val="28"/>
        </w:rPr>
        <w:t xml:space="preserve">по линии Министерства сельского хозяйства Алтайского края </w:t>
      </w:r>
      <w:r>
        <w:rPr>
          <w:color w:val="000000"/>
          <w:sz w:val="28"/>
          <w:szCs w:val="28"/>
        </w:rPr>
        <w:br/>
      </w:r>
      <w:r w:rsidRPr="00283F74">
        <w:rPr>
          <w:color w:val="000000"/>
          <w:sz w:val="28"/>
          <w:szCs w:val="28"/>
        </w:rPr>
        <w:t>ООО «Русский овощ» получ</w:t>
      </w:r>
      <w:r>
        <w:rPr>
          <w:color w:val="000000"/>
          <w:sz w:val="28"/>
          <w:szCs w:val="28"/>
        </w:rPr>
        <w:t>ены</w:t>
      </w:r>
      <w:r w:rsidRPr="00283F74">
        <w:rPr>
          <w:color w:val="000000"/>
          <w:sz w:val="28"/>
          <w:szCs w:val="28"/>
        </w:rPr>
        <w:t xml:space="preserve"> субсидий и грант</w:t>
      </w:r>
      <w:r>
        <w:rPr>
          <w:color w:val="000000"/>
          <w:sz w:val="28"/>
          <w:szCs w:val="28"/>
        </w:rPr>
        <w:t>ы</w:t>
      </w:r>
      <w:r w:rsidRPr="00283F74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общую сумму </w:t>
      </w:r>
      <w:r>
        <w:rPr>
          <w:color w:val="000000"/>
          <w:sz w:val="28"/>
          <w:szCs w:val="28"/>
        </w:rPr>
        <w:br/>
      </w:r>
      <w:r w:rsidRPr="00283F7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,7 млн.</w:t>
      </w:r>
      <w:r w:rsidRPr="00283F74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лей.</w:t>
      </w:r>
    </w:p>
    <w:p w:rsidR="00C430B8" w:rsidRDefault="00C430B8" w:rsidP="00283F74">
      <w:pPr>
        <w:pStyle w:val="af9"/>
        <w:tabs>
          <w:tab w:val="left" w:pos="426"/>
          <w:tab w:val="left" w:pos="993"/>
          <w:tab w:val="center" w:pos="4960"/>
        </w:tabs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продолжает вести реестр субъектов малого и среднего предпринимательства – получателей поддержки, который размещен </w:t>
      </w:r>
      <w:r>
        <w:rPr>
          <w:color w:val="000000"/>
          <w:sz w:val="28"/>
          <w:szCs w:val="28"/>
        </w:rPr>
        <w:br/>
        <w:t xml:space="preserve">на официальном сайте Администрации города Новоалтайска и находится </w:t>
      </w:r>
      <w:r>
        <w:rPr>
          <w:color w:val="000000"/>
          <w:sz w:val="28"/>
          <w:szCs w:val="28"/>
        </w:rPr>
        <w:br/>
        <w:t>в общем доступе.</w:t>
      </w:r>
    </w:p>
    <w:p w:rsidR="00C430B8" w:rsidRPr="005027D5" w:rsidRDefault="00C430B8" w:rsidP="005027D5">
      <w:pPr>
        <w:pStyle w:val="af9"/>
        <w:tabs>
          <w:tab w:val="left" w:pos="426"/>
          <w:tab w:val="left" w:pos="993"/>
          <w:tab w:val="center" w:pos="4960"/>
        </w:tabs>
        <w:ind w:left="0" w:right="-1" w:firstLine="567"/>
        <w:jc w:val="both"/>
        <w:rPr>
          <w:sz w:val="28"/>
          <w:szCs w:val="28"/>
        </w:rPr>
      </w:pPr>
      <w:r w:rsidRPr="005027D5">
        <w:rPr>
          <w:color w:val="000000"/>
          <w:sz w:val="28"/>
          <w:szCs w:val="28"/>
        </w:rPr>
        <w:t xml:space="preserve">В рамках </w:t>
      </w:r>
      <w:proofErr w:type="gramStart"/>
      <w:r w:rsidRPr="005027D5">
        <w:rPr>
          <w:sz w:val="28"/>
          <w:szCs w:val="28"/>
        </w:rPr>
        <w:t>информационно-консультационная</w:t>
      </w:r>
      <w:proofErr w:type="gramEnd"/>
      <w:r w:rsidRPr="005027D5">
        <w:rPr>
          <w:sz w:val="28"/>
          <w:szCs w:val="28"/>
        </w:rPr>
        <w:t xml:space="preserve"> под</w:t>
      </w:r>
      <w:r w:rsidR="008A69B4">
        <w:rPr>
          <w:sz w:val="28"/>
          <w:szCs w:val="28"/>
        </w:rPr>
        <w:t xml:space="preserve">держки </w:t>
      </w:r>
      <w:proofErr w:type="spellStart"/>
      <w:r w:rsidR="008A69B4">
        <w:rPr>
          <w:sz w:val="28"/>
          <w:szCs w:val="28"/>
        </w:rPr>
        <w:t>СМП</w:t>
      </w:r>
      <w:proofErr w:type="spellEnd"/>
      <w:r w:rsidR="008A69B4">
        <w:rPr>
          <w:sz w:val="28"/>
          <w:szCs w:val="28"/>
        </w:rPr>
        <w:t xml:space="preserve"> в течение</w:t>
      </w:r>
      <w:bookmarkStart w:id="0" w:name="_GoBack"/>
      <w:bookmarkEnd w:id="0"/>
      <w:r w:rsidRPr="005027D5">
        <w:rPr>
          <w:sz w:val="28"/>
          <w:szCs w:val="28"/>
        </w:rPr>
        <w:t xml:space="preserve"> года проведены:</w:t>
      </w:r>
    </w:p>
    <w:p w:rsidR="00C430B8" w:rsidRPr="005027D5" w:rsidRDefault="00C430B8" w:rsidP="005027D5">
      <w:pPr>
        <w:pStyle w:val="af9"/>
        <w:numPr>
          <w:ilvl w:val="0"/>
          <w:numId w:val="2"/>
        </w:numPr>
        <w:tabs>
          <w:tab w:val="left" w:pos="426"/>
          <w:tab w:val="left" w:pos="900"/>
          <w:tab w:val="left" w:pos="993"/>
          <w:tab w:val="left" w:pos="1080"/>
          <w:tab w:val="center" w:pos="4960"/>
        </w:tabs>
        <w:ind w:left="0" w:firstLine="709"/>
        <w:jc w:val="both"/>
        <w:rPr>
          <w:sz w:val="28"/>
          <w:szCs w:val="28"/>
        </w:rPr>
      </w:pPr>
      <w:r w:rsidRPr="005027D5">
        <w:rPr>
          <w:sz w:val="28"/>
          <w:szCs w:val="28"/>
        </w:rPr>
        <w:t>организационный сбор Общественного совета по вопросу организации выставки товаропроизводителей на территории города Новоалтайска.</w:t>
      </w:r>
    </w:p>
    <w:p w:rsidR="00C430B8" w:rsidRPr="005027D5" w:rsidRDefault="00C430B8" w:rsidP="005027D5">
      <w:pPr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5027D5">
        <w:rPr>
          <w:sz w:val="28"/>
          <w:szCs w:val="28"/>
        </w:rPr>
        <w:t xml:space="preserve">совещание с участием помощника прокурора </w:t>
      </w:r>
      <w:r w:rsidRPr="005027D5">
        <w:rPr>
          <w:sz w:val="28"/>
          <w:szCs w:val="28"/>
        </w:rPr>
        <w:br/>
        <w:t xml:space="preserve">по вопросу выполнения соглашений резидентами </w:t>
      </w:r>
      <w:proofErr w:type="spellStart"/>
      <w:r w:rsidRPr="005027D5">
        <w:rPr>
          <w:sz w:val="28"/>
          <w:szCs w:val="28"/>
        </w:rPr>
        <w:t>ТОСЭР</w:t>
      </w:r>
      <w:proofErr w:type="spellEnd"/>
      <w:r w:rsidRPr="005027D5">
        <w:rPr>
          <w:sz w:val="28"/>
          <w:szCs w:val="28"/>
        </w:rPr>
        <w:t>.</w:t>
      </w:r>
    </w:p>
    <w:p w:rsidR="00C430B8" w:rsidRPr="005027D5" w:rsidRDefault="00C430B8" w:rsidP="005027D5">
      <w:pPr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5027D5">
        <w:rPr>
          <w:sz w:val="28"/>
          <w:szCs w:val="28"/>
        </w:rPr>
        <w:t xml:space="preserve">совместно с Управлением Алтайского края по развитию предпринимательства и рыночной инфраструктуры выездной семинар по </w:t>
      </w:r>
      <w:r w:rsidRPr="005027D5">
        <w:rPr>
          <w:sz w:val="28"/>
          <w:szCs w:val="28"/>
        </w:rPr>
        <w:lastRenderedPageBreak/>
        <w:t>организации Доступной городской среды для людей с ограниченными возможностями здоровья.</w:t>
      </w:r>
    </w:p>
    <w:p w:rsidR="00C430B8" w:rsidRPr="005027D5" w:rsidRDefault="00C430B8" w:rsidP="005027D5">
      <w:pPr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5027D5">
        <w:rPr>
          <w:sz w:val="28"/>
          <w:szCs w:val="28"/>
        </w:rPr>
        <w:t>видеоконференция на тему: «Деятельность по предупреждению, выявлению и пресечению нарушений обязательных требований в области санитарно-эпидемиологического контроля».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2023 года на территории Центральной площади </w:t>
      </w:r>
      <w:r>
        <w:rPr>
          <w:sz w:val="28"/>
          <w:szCs w:val="27"/>
        </w:rPr>
        <w:t xml:space="preserve">проведена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выставка-продажа «Наша </w:t>
      </w:r>
      <w:proofErr w:type="gramStart"/>
      <w:r>
        <w:rPr>
          <w:sz w:val="28"/>
          <w:szCs w:val="28"/>
        </w:rPr>
        <w:t>продукция</w:t>
      </w:r>
      <w:proofErr w:type="gramEnd"/>
      <w:r>
        <w:rPr>
          <w:sz w:val="28"/>
          <w:szCs w:val="28"/>
        </w:rPr>
        <w:t>» в которой приняли участие более 50 товаропроизводителей Алтайского края.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организовано 34 универсальных и тематических ярмарочных дней, за аналогичный период в 2022 году - 37. 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развитию предпринимательства и рыночной </w:t>
      </w:r>
      <w:proofErr w:type="spellStart"/>
      <w:r>
        <w:rPr>
          <w:sz w:val="28"/>
          <w:szCs w:val="28"/>
        </w:rPr>
        <w:t>инфраструктуруры</w:t>
      </w:r>
      <w:proofErr w:type="spellEnd"/>
      <w:r>
        <w:rPr>
          <w:sz w:val="28"/>
          <w:szCs w:val="28"/>
        </w:rPr>
        <w:t xml:space="preserve"> в еженедельном порядке осуществляет мероприятия по мониторингу розничных цен на отдельные продовольственные и непродовольственные товары в розничных магазинах города Новоалтайска с последующей передачей информации посредством Единой системы мониторинга цен и остатков (АРМ «Мониторинг»). 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вносятся изменения в схему размещения нестационарных торговых объектов (Далее - НТО) на территории города Новоалтайска, где определено местоположение нестационарных торговых объектов с указанием вида НТО и группы реализуемых товаров. Осуществляется непосредственный контроль ее соответствия.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2023 год проведено 2 заседания комиссии по размещению НТО </w:t>
      </w:r>
      <w:r>
        <w:rPr>
          <w:sz w:val="28"/>
          <w:szCs w:val="28"/>
        </w:rPr>
        <w:br/>
        <w:t xml:space="preserve">на территории города Новоалтайска, на которых рассмотрены проблемные вопросы размещения НТО на территории города и исполнения действующего законодательства Российской Федерации, в результате проведена корректировка действующей схемы. 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заседаний рабочих групп согласована торговля и оказание услуг на 51 сезонных торговых точках и 8 павильонов. На территории города Новоалтайска продолжают свою деятельность 2 постоянно действующей ярмарки (ООО «Старый рынок» Рынок Октябрьский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«Кварц», </w:t>
      </w:r>
      <w:r>
        <w:rPr>
          <w:sz w:val="28"/>
          <w:szCs w:val="28"/>
        </w:rPr>
        <w:br/>
        <w:t xml:space="preserve">ТЦ «Альфа»). 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и информационного обеспечения взаимодействия органов местного самоуправления и предпринимательского сообщества города Новоалтайска при реализации политики государственной поддержки предпринимательства, а также привлечения субъектов малого и среднего предпринимательства к решению социально-экономических задач в городе создан и действует Общественный совет по развитию предпринимательства при Администрации города Новоалтайска. Взаимодействие с Общественным советом осуществляется как в очном, так и в дистанционном порядке. </w:t>
      </w:r>
    </w:p>
    <w:p w:rsidR="00C430B8" w:rsidRDefault="00C430B8" w:rsidP="00283F74">
      <w:pPr>
        <w:pStyle w:val="7"/>
        <w:spacing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2023 года совместно со специалистами Управления Алтайского края по развитию предпринимательства и рыночной инфраструктуры и </w:t>
      </w:r>
      <w:proofErr w:type="spellStart"/>
      <w:r>
        <w:rPr>
          <w:rFonts w:ascii="Times New Roman" w:hAnsi="Times New Roman"/>
          <w:position w:val="2"/>
          <w:sz w:val="28"/>
          <w:szCs w:val="28"/>
        </w:rPr>
        <w:t>НК</w:t>
      </w:r>
      <w:proofErr w:type="spellEnd"/>
      <w:r>
        <w:rPr>
          <w:rFonts w:ascii="Times New Roman" w:hAnsi="Times New Roman"/>
          <w:position w:val="2"/>
          <w:sz w:val="28"/>
          <w:szCs w:val="28"/>
        </w:rPr>
        <w:t xml:space="preserve"> «Алтайского Фонда развития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проводились лекции, </w:t>
      </w:r>
      <w:r>
        <w:rPr>
          <w:rFonts w:ascii="Times New Roman" w:hAnsi="Times New Roman"/>
          <w:sz w:val="28"/>
          <w:szCs w:val="28"/>
        </w:rPr>
        <w:t xml:space="preserve">консультационные мероприятия и </w:t>
      </w:r>
      <w:proofErr w:type="spellStart"/>
      <w:r>
        <w:rPr>
          <w:rFonts w:ascii="Times New Roman" w:hAnsi="Times New Roman"/>
          <w:sz w:val="28"/>
          <w:szCs w:val="28"/>
        </w:rPr>
        <w:t>видеосеминары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предпринимателей по актуальным вопросам ведения предпринимательской деятельности и изменениям действующего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законодательства, на всех мероприятиях обеспечено участие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Новоалтайских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предпринимателей.</w:t>
      </w:r>
    </w:p>
    <w:p w:rsidR="00C430B8" w:rsidRDefault="00C430B8" w:rsidP="00283F74">
      <w:pPr>
        <w:pStyle w:val="af9"/>
        <w:tabs>
          <w:tab w:val="left" w:pos="42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числе, предпринимателям регулярно оказывается консультационно – информационная поддержка и в разделе «Предпринимательство» освещаются события бизнеса не только города, </w:t>
      </w:r>
      <w:r>
        <w:rPr>
          <w:sz w:val="28"/>
          <w:szCs w:val="28"/>
        </w:rPr>
        <w:br/>
        <w:t>но и края.</w:t>
      </w:r>
    </w:p>
    <w:p w:rsidR="00C430B8" w:rsidRDefault="00C430B8" w:rsidP="00283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на постоянной основе проводится  мониторинг за состоянием </w:t>
      </w:r>
      <w:r>
        <w:rPr>
          <w:sz w:val="28"/>
          <w:szCs w:val="28"/>
        </w:rPr>
        <w:br/>
        <w:t xml:space="preserve">и динамикой развития субъектов малого и среднего предпринимательства </w:t>
      </w:r>
      <w:r>
        <w:rPr>
          <w:sz w:val="28"/>
          <w:szCs w:val="28"/>
        </w:rPr>
        <w:br/>
        <w:t>на территории города Новоалтайска.</w:t>
      </w:r>
    </w:p>
    <w:p w:rsidR="00C430B8" w:rsidRDefault="00C430B8" w:rsidP="00D44DA8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оперативным данным</w:t>
      </w:r>
      <w:r>
        <w:rPr>
          <w:sz w:val="28"/>
          <w:szCs w:val="28"/>
        </w:rPr>
        <w:t xml:space="preserve"> на 10.01.2024 число субъектов малого и среднего предпринимательства составляет </w:t>
      </w:r>
      <w:r>
        <w:rPr>
          <w:color w:val="000000"/>
          <w:sz w:val="28"/>
          <w:szCs w:val="28"/>
          <w:shd w:val="clear" w:color="auto" w:fill="FFFFFF"/>
        </w:rPr>
        <w:t>2135</w:t>
      </w:r>
      <w:r>
        <w:rPr>
          <w:sz w:val="28"/>
          <w:szCs w:val="28"/>
        </w:rPr>
        <w:t xml:space="preserve"> единиц, в том числе 1441 индивидуальных предпринимателей и 694 юридических лиц, 732 граждан зарегистрированный использующих налог на профессиональный доход (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). Численность занятых на малых и средних предприятиях (включая индивидуальных предпринимателей) составляет 6431 человека.</w:t>
      </w:r>
    </w:p>
    <w:p w:rsidR="00C430B8" w:rsidRDefault="00C430B8" w:rsidP="00D44DA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отделом ведется работа по уточнению дислокации объектов торговли и общественного питания. В 2023 году, в городе работает 345 магазинов с общей торговой площадью </w:t>
      </w:r>
      <w:smartTag w:uri="urn:schemas-microsoft-com:office:smarttags" w:element="metricconverter">
        <w:smartTagPr>
          <w:attr w:name="ProductID" w:val="81671,3 м2"/>
        </w:smartTagPr>
        <w:r>
          <w:rPr>
            <w:sz w:val="28"/>
            <w:szCs w:val="28"/>
          </w:rPr>
          <w:t xml:space="preserve">81671,3 </w:t>
        </w:r>
        <w:proofErr w:type="spellStart"/>
        <w:r>
          <w:rPr>
            <w:sz w:val="28"/>
            <w:szCs w:val="28"/>
          </w:rPr>
          <w:t>м</w:t>
        </w:r>
        <w:proofErr w:type="gramStart"/>
        <w:r>
          <w:rPr>
            <w:sz w:val="28"/>
            <w:szCs w:val="28"/>
          </w:rPr>
          <w:t>2</w:t>
        </w:r>
      </w:smartTag>
      <w:proofErr w:type="spellEnd"/>
      <w:proofErr w:type="gramEnd"/>
      <w:r>
        <w:rPr>
          <w:sz w:val="28"/>
          <w:szCs w:val="28"/>
        </w:rPr>
        <w:t xml:space="preserve">. Обеспеченность населения на 1000 жителей составляет </w:t>
      </w:r>
      <w:smartTag w:uri="urn:schemas-microsoft-com:office:smarttags" w:element="metricconverter">
        <w:smartTagPr>
          <w:attr w:name="ProductID" w:val="1 116,9 м2"/>
        </w:smartTagPr>
        <w:r>
          <w:rPr>
            <w:sz w:val="28"/>
            <w:szCs w:val="28"/>
          </w:rPr>
          <w:t xml:space="preserve">1 116,9 </w:t>
        </w:r>
        <w:proofErr w:type="spellStart"/>
        <w:r>
          <w:rPr>
            <w:sz w:val="28"/>
            <w:szCs w:val="28"/>
          </w:rPr>
          <w:t>м</w:t>
        </w:r>
        <w:proofErr w:type="gramStart"/>
        <w:r>
          <w:rPr>
            <w:sz w:val="28"/>
            <w:szCs w:val="28"/>
          </w:rPr>
          <w:t>2</w:t>
        </w:r>
      </w:smartTag>
      <w:proofErr w:type="spellEnd"/>
      <w:proofErr w:type="gramEnd"/>
      <w:r>
        <w:rPr>
          <w:sz w:val="28"/>
          <w:szCs w:val="28"/>
        </w:rPr>
        <w:t>.</w:t>
      </w:r>
    </w:p>
    <w:p w:rsidR="00C430B8" w:rsidRDefault="00C430B8" w:rsidP="00283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итогам 2023</w:t>
      </w:r>
      <w:r w:rsidRPr="004006A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06A6"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СМСП</w:t>
      </w:r>
      <w:proofErr w:type="spellEnd"/>
      <w:r>
        <w:rPr>
          <w:sz w:val="28"/>
          <w:szCs w:val="28"/>
        </w:rPr>
        <w:t xml:space="preserve"> поступило в бюджет городского округа, поступило 127289 тыс. руб., что на 1,9% больше по сравнению с 2022 годом. За 2023 год неналоговые доходы по договорам на установку  </w:t>
      </w:r>
      <w:r>
        <w:rPr>
          <w:sz w:val="28"/>
          <w:szCs w:val="28"/>
        </w:rPr>
        <w:br/>
        <w:t xml:space="preserve">и эксплуатацию рекламных конструкций, а также за предоставления права </w:t>
      </w:r>
      <w:r>
        <w:rPr>
          <w:sz w:val="28"/>
          <w:szCs w:val="28"/>
        </w:rPr>
        <w:br/>
        <w:t>на размещение нестационарных торговых объектов, составили 2,1 млн.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C430B8" w:rsidRDefault="00C430B8" w:rsidP="00283F7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поступлению налогов в бюджет города от </w:t>
      </w:r>
      <w:proofErr w:type="spellStart"/>
      <w:r>
        <w:rPr>
          <w:rFonts w:ascii="Times New Roman" w:hAnsi="Times New Roman"/>
          <w:sz w:val="28"/>
          <w:szCs w:val="28"/>
        </w:rPr>
        <w:t>СМСП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не включает в себя платежи по имущественным и земельным налогам, которые в свою очередь несут существенные поступления в бюджет города.</w:t>
      </w:r>
    </w:p>
    <w:p w:rsidR="00C430B8" w:rsidRDefault="00C430B8">
      <w:pPr>
        <w:rPr>
          <w:sz w:val="28"/>
          <w:szCs w:val="28"/>
        </w:rPr>
      </w:pPr>
    </w:p>
    <w:p w:rsidR="00C430B8" w:rsidRDefault="00C430B8">
      <w:pPr>
        <w:rPr>
          <w:sz w:val="28"/>
          <w:szCs w:val="28"/>
        </w:rPr>
      </w:pPr>
    </w:p>
    <w:p w:rsidR="00C430B8" w:rsidRDefault="00C430B8">
      <w:pPr>
        <w:rPr>
          <w:sz w:val="28"/>
          <w:szCs w:val="28"/>
        </w:rPr>
      </w:pPr>
    </w:p>
    <w:p w:rsidR="00C430B8" w:rsidRDefault="00C430B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C430B8" w:rsidRDefault="00C430B8">
      <w:pPr>
        <w:rPr>
          <w:sz w:val="28"/>
          <w:szCs w:val="28"/>
        </w:rPr>
      </w:pPr>
      <w:r>
        <w:rPr>
          <w:sz w:val="28"/>
          <w:szCs w:val="28"/>
        </w:rPr>
        <w:t xml:space="preserve">по развитию предпринимательства </w:t>
      </w:r>
    </w:p>
    <w:p w:rsidR="00C430B8" w:rsidRDefault="00C430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Строчков</w:t>
      </w:r>
    </w:p>
    <w:sectPr w:rsidR="00C430B8" w:rsidSect="00283F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B8" w:rsidRDefault="00C430B8">
      <w:r>
        <w:separator/>
      </w:r>
    </w:p>
  </w:endnote>
  <w:endnote w:type="continuationSeparator" w:id="0">
    <w:p w:rsidR="00C430B8" w:rsidRDefault="00C4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B8" w:rsidRDefault="00C430B8">
      <w:r>
        <w:separator/>
      </w:r>
    </w:p>
  </w:footnote>
  <w:footnote w:type="continuationSeparator" w:id="0">
    <w:p w:rsidR="00C430B8" w:rsidRDefault="00C4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782"/>
    <w:multiLevelType w:val="hybridMultilevel"/>
    <w:tmpl w:val="002AB518"/>
    <w:lvl w:ilvl="0" w:tplc="409C178A">
      <w:start w:val="1"/>
      <w:numFmt w:val="bullet"/>
      <w:lvlText w:val="˗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B1F77CB"/>
    <w:multiLevelType w:val="hybridMultilevel"/>
    <w:tmpl w:val="FFFFFFFF"/>
    <w:lvl w:ilvl="0" w:tplc="07F0C3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84CE51E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5B6819B4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832A897C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CA56F946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BD7E2F9A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925A0078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44D61786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D9AEA868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544"/>
    <w:rsid w:val="000B4AFE"/>
    <w:rsid w:val="00237E00"/>
    <w:rsid w:val="00283F74"/>
    <w:rsid w:val="002A328B"/>
    <w:rsid w:val="00377E5D"/>
    <w:rsid w:val="004006A6"/>
    <w:rsid w:val="004B0D4E"/>
    <w:rsid w:val="005027D5"/>
    <w:rsid w:val="00502A87"/>
    <w:rsid w:val="00522C61"/>
    <w:rsid w:val="00551544"/>
    <w:rsid w:val="005B1E48"/>
    <w:rsid w:val="0079360A"/>
    <w:rsid w:val="008A69B4"/>
    <w:rsid w:val="00924FD8"/>
    <w:rsid w:val="009443EB"/>
    <w:rsid w:val="00A66EF0"/>
    <w:rsid w:val="00B3780F"/>
    <w:rsid w:val="00C430B8"/>
    <w:rsid w:val="00C77CA1"/>
    <w:rsid w:val="00CD2309"/>
    <w:rsid w:val="00D44DA8"/>
    <w:rsid w:val="00D61E69"/>
    <w:rsid w:val="00EA3E54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515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1544"/>
    <w:pPr>
      <w:keepNext/>
      <w:keepLines/>
      <w:spacing w:before="480" w:after="200"/>
      <w:outlineLvl w:val="0"/>
    </w:pPr>
    <w:rPr>
      <w:rFonts w:ascii="Arial" w:eastAsia="Calibri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551544"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rsid w:val="00551544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551544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51544"/>
    <w:pPr>
      <w:keepNext/>
      <w:keepLines/>
      <w:spacing w:before="320" w:after="200"/>
      <w:outlineLvl w:val="4"/>
    </w:pPr>
    <w:rPr>
      <w:rFonts w:ascii="Arial" w:eastAsia="Calibri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551544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5154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551544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51544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544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551544"/>
    <w:rPr>
      <w:rFonts w:ascii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551544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55154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51544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551544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locked/>
    <w:rsid w:val="00551544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551544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551544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551544"/>
    <w:rPr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55154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551544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551544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551544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551544"/>
    <w:pPr>
      <w:ind w:left="720" w:right="720"/>
    </w:pPr>
    <w:rPr>
      <w:rFonts w:ascii="Calibri" w:eastAsia="Calibri" w:hAnsi="Calibri"/>
      <w:i/>
      <w:sz w:val="20"/>
      <w:szCs w:val="20"/>
      <w:lang w:eastAsia="ko-KR"/>
    </w:rPr>
  </w:style>
  <w:style w:type="character" w:customStyle="1" w:styleId="22">
    <w:name w:val="Цитата 2 Знак"/>
    <w:basedOn w:val="a0"/>
    <w:link w:val="21"/>
    <w:uiPriority w:val="99"/>
    <w:locked/>
    <w:rsid w:val="00551544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5515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  <w:lang w:eastAsia="ko-KR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551544"/>
    <w:rPr>
      <w:rFonts w:cs="Times New Roman"/>
      <w:i/>
    </w:rPr>
  </w:style>
  <w:style w:type="paragraph" w:styleId="aa">
    <w:name w:val="header"/>
    <w:basedOn w:val="a"/>
    <w:link w:val="ab"/>
    <w:uiPriority w:val="99"/>
    <w:rsid w:val="00551544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51544"/>
    <w:rPr>
      <w:rFonts w:cs="Times New Roman"/>
    </w:rPr>
  </w:style>
  <w:style w:type="paragraph" w:styleId="ac">
    <w:name w:val="footer"/>
    <w:basedOn w:val="a"/>
    <w:link w:val="ad"/>
    <w:uiPriority w:val="99"/>
    <w:rsid w:val="0055154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551544"/>
    <w:rPr>
      <w:rFonts w:cs="Times New Roman"/>
    </w:rPr>
  </w:style>
  <w:style w:type="paragraph" w:styleId="ae">
    <w:name w:val="caption"/>
    <w:basedOn w:val="a"/>
    <w:next w:val="a"/>
    <w:uiPriority w:val="99"/>
    <w:qFormat/>
    <w:rsid w:val="00551544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ad">
    <w:name w:val="Нижний колонтитул Знак"/>
    <w:link w:val="ac"/>
    <w:uiPriority w:val="99"/>
    <w:locked/>
    <w:rsid w:val="00551544"/>
  </w:style>
  <w:style w:type="table" w:styleId="af">
    <w:name w:val="Table Grid"/>
    <w:basedOn w:val="a1"/>
    <w:uiPriority w:val="99"/>
    <w:rsid w:val="005515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551544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51544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51544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55154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55154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551544"/>
    <w:pPr>
      <w:spacing w:after="40"/>
    </w:pPr>
    <w:rPr>
      <w:rFonts w:ascii="Calibri" w:eastAsia="Calibri" w:hAnsi="Calibri"/>
      <w:sz w:val="18"/>
      <w:szCs w:val="20"/>
      <w:lang w:eastAsia="ko-KR"/>
    </w:rPr>
  </w:style>
  <w:style w:type="character" w:customStyle="1" w:styleId="af1">
    <w:name w:val="Текст сноски Знак"/>
    <w:basedOn w:val="a0"/>
    <w:link w:val="af0"/>
    <w:uiPriority w:val="99"/>
    <w:locked/>
    <w:rsid w:val="00551544"/>
    <w:rPr>
      <w:rFonts w:cs="Times New Roman"/>
      <w:sz w:val="18"/>
    </w:rPr>
  </w:style>
  <w:style w:type="character" w:styleId="af2">
    <w:name w:val="footnote reference"/>
    <w:basedOn w:val="a0"/>
    <w:uiPriority w:val="99"/>
    <w:rsid w:val="00551544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551544"/>
    <w:rPr>
      <w:rFonts w:ascii="Calibri" w:eastAsia="Calibri" w:hAnsi="Calibri"/>
      <w:sz w:val="20"/>
      <w:szCs w:val="20"/>
      <w:lang w:eastAsia="ko-KR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551544"/>
    <w:rPr>
      <w:rFonts w:cs="Times New Roman"/>
      <w:sz w:val="20"/>
    </w:rPr>
  </w:style>
  <w:style w:type="character" w:styleId="af5">
    <w:name w:val="endnote reference"/>
    <w:basedOn w:val="a0"/>
    <w:link w:val="ListParagraphChar"/>
    <w:uiPriority w:val="99"/>
    <w:locked/>
    <w:rsid w:val="00551544"/>
    <w:rPr>
      <w:rFonts w:ascii="Times New Roman" w:hAnsi="Times New Roman" w:cs="Times New Roman"/>
      <w:noProof/>
      <w:vertAlign w:val="superscript"/>
      <w:lang w:val="ru-RU" w:eastAsia="ru-RU" w:bidi="ar-SA"/>
    </w:rPr>
  </w:style>
  <w:style w:type="paragraph" w:styleId="11">
    <w:name w:val="toc 1"/>
    <w:basedOn w:val="a"/>
    <w:next w:val="a"/>
    <w:uiPriority w:val="99"/>
    <w:rsid w:val="00551544"/>
    <w:pPr>
      <w:spacing w:after="57"/>
    </w:pPr>
  </w:style>
  <w:style w:type="paragraph" w:styleId="23">
    <w:name w:val="toc 2"/>
    <w:basedOn w:val="a"/>
    <w:next w:val="a"/>
    <w:uiPriority w:val="99"/>
    <w:rsid w:val="00551544"/>
    <w:pPr>
      <w:spacing w:after="57"/>
      <w:ind w:left="283"/>
    </w:pPr>
  </w:style>
  <w:style w:type="paragraph" w:styleId="31">
    <w:name w:val="toc 3"/>
    <w:basedOn w:val="a"/>
    <w:next w:val="a"/>
    <w:uiPriority w:val="99"/>
    <w:rsid w:val="00551544"/>
    <w:pPr>
      <w:spacing w:after="57"/>
      <w:ind w:left="567"/>
    </w:pPr>
  </w:style>
  <w:style w:type="paragraph" w:styleId="41">
    <w:name w:val="toc 4"/>
    <w:basedOn w:val="a"/>
    <w:next w:val="a"/>
    <w:uiPriority w:val="99"/>
    <w:rsid w:val="00551544"/>
    <w:pPr>
      <w:spacing w:after="57"/>
      <w:ind w:left="850"/>
    </w:pPr>
  </w:style>
  <w:style w:type="paragraph" w:styleId="51">
    <w:name w:val="toc 5"/>
    <w:basedOn w:val="a"/>
    <w:next w:val="a"/>
    <w:uiPriority w:val="99"/>
    <w:rsid w:val="00551544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551544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551544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551544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551544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551544"/>
    <w:pPr>
      <w:keepNext w:val="0"/>
      <w:keepLines w:val="0"/>
      <w:spacing w:before="0" w:after="160" w:line="259" w:lineRule="auto"/>
      <w:outlineLvl w:val="9"/>
    </w:pPr>
    <w:rPr>
      <w:rFonts w:ascii="Calibri" w:hAnsi="Calibri" w:cs="Times New Roman"/>
      <w:sz w:val="22"/>
      <w:szCs w:val="22"/>
      <w:lang w:eastAsia="en-US"/>
    </w:rPr>
  </w:style>
  <w:style w:type="paragraph" w:styleId="af7">
    <w:name w:val="table of figures"/>
    <w:basedOn w:val="a"/>
    <w:next w:val="a"/>
    <w:uiPriority w:val="99"/>
    <w:rsid w:val="00551544"/>
  </w:style>
  <w:style w:type="paragraph" w:customStyle="1" w:styleId="ConsPlusNormal">
    <w:name w:val="ConsPlusNormal"/>
    <w:link w:val="ConsPlusNormal0"/>
    <w:uiPriority w:val="99"/>
    <w:rsid w:val="00551544"/>
    <w:pPr>
      <w:widowControl w:val="0"/>
      <w:ind w:firstLine="720"/>
    </w:pPr>
    <w:rPr>
      <w:rFonts w:ascii="Arial" w:hAnsi="Arial"/>
    </w:rPr>
  </w:style>
  <w:style w:type="paragraph" w:customStyle="1" w:styleId="af8">
    <w:name w:val="текст_реф_ау"/>
    <w:basedOn w:val="a"/>
    <w:uiPriority w:val="99"/>
    <w:rsid w:val="00551544"/>
    <w:pPr>
      <w:spacing w:line="312" w:lineRule="auto"/>
      <w:ind w:firstLine="720"/>
      <w:jc w:val="both"/>
    </w:pPr>
    <w:rPr>
      <w:spacing w:val="-2"/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51544"/>
    <w:rPr>
      <w:rFonts w:ascii="Arial" w:hAnsi="Arial"/>
      <w:sz w:val="22"/>
      <w:lang w:eastAsia="ru-RU"/>
    </w:rPr>
  </w:style>
  <w:style w:type="paragraph" w:styleId="af9">
    <w:name w:val="List Paragraph"/>
    <w:basedOn w:val="a"/>
    <w:uiPriority w:val="99"/>
    <w:qFormat/>
    <w:rsid w:val="00551544"/>
    <w:pPr>
      <w:ind w:left="708"/>
    </w:pPr>
  </w:style>
  <w:style w:type="character" w:styleId="afa">
    <w:name w:val="Hyperlink"/>
    <w:basedOn w:val="a0"/>
    <w:uiPriority w:val="99"/>
    <w:rsid w:val="00551544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551544"/>
    <w:rPr>
      <w:rFonts w:ascii="Calibri" w:hAnsi="Calibri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uiPriority w:val="99"/>
    <w:rsid w:val="0055154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c">
    <w:name w:val="Balloon Text"/>
    <w:basedOn w:val="a"/>
    <w:link w:val="afd"/>
    <w:uiPriority w:val="99"/>
    <w:semiHidden/>
    <w:rsid w:val="0055154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551544"/>
    <w:rPr>
      <w:rFonts w:ascii="Segoe UI" w:hAnsi="Segoe UI" w:cs="Segoe UI"/>
      <w:sz w:val="18"/>
      <w:szCs w:val="18"/>
      <w:lang w:eastAsia="ru-RU"/>
    </w:rPr>
  </w:style>
  <w:style w:type="paragraph" w:customStyle="1" w:styleId="ListParagraphChar">
    <w:name w:val="List Paragraph Char"/>
    <w:link w:val="af5"/>
    <w:uiPriority w:val="99"/>
    <w:rsid w:val="00F97BEF"/>
    <w:rPr>
      <w:rFonts w:ascii="Times New Roman" w:hAnsi="Times New Roman"/>
      <w:noProof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Сергеевна</dc:creator>
  <cp:keywords/>
  <dc:description/>
  <cp:lastModifiedBy>ЕАКолпакова</cp:lastModifiedBy>
  <cp:revision>32</cp:revision>
  <cp:lastPrinted>2024-02-01T06:48:00Z</cp:lastPrinted>
  <dcterms:created xsi:type="dcterms:W3CDTF">2023-01-20T05:13:00Z</dcterms:created>
  <dcterms:modified xsi:type="dcterms:W3CDTF">2024-02-01T07:50:00Z</dcterms:modified>
</cp:coreProperties>
</file>