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итогах работы комиссии по делам несовершеннолетних и защите их прав г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рода Новоалтайска за 20</w:t>
      </w:r>
      <w:r>
        <w:rPr>
          <w:b/>
          <w:sz w:val="24"/>
          <w:szCs w:val="24"/>
        </w:rPr>
        <w:t xml:space="preserve">25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5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сновными задачами деятельности системы профилактики города Нов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алтайска </w:t>
      </w:r>
      <w:r>
        <w:rPr>
          <w:sz w:val="24"/>
          <w:szCs w:val="24"/>
        </w:rPr>
        <w:t xml:space="preserve">явля</w:t>
      </w:r>
      <w:r>
        <w:rPr>
          <w:sz w:val="24"/>
          <w:szCs w:val="24"/>
        </w:rPr>
        <w:t xml:space="preserve">ются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чин и условий, способствующих этому;</w:t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защиты прав и законных интересов несовершеннолетних;</w:t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выявление и пресечение случаев вовлечения несовершеннолетних в с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вершение преступ</w:t>
      </w:r>
      <w:r>
        <w:rPr>
          <w:sz w:val="24"/>
          <w:szCs w:val="24"/>
        </w:rPr>
        <w:t xml:space="preserve">лений и антиобщественных действий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прошедшем году на учете в КДНиЗП состояло</w:t>
      </w:r>
      <w:r>
        <w:rPr>
          <w:sz w:val="24"/>
          <w:szCs w:val="24"/>
        </w:rPr>
        <w:t xml:space="preserve"> 82</w:t>
      </w:r>
      <w:r>
        <w:rPr>
          <w:sz w:val="24"/>
          <w:szCs w:val="24"/>
        </w:rPr>
        <w:t xml:space="preserve"> семей</w:t>
      </w:r>
      <w:r>
        <w:rPr>
          <w:sz w:val="24"/>
          <w:szCs w:val="24"/>
        </w:rPr>
        <w:t xml:space="preserve">, на 31.12.2025</w:t>
      </w:r>
      <w:r>
        <w:rPr>
          <w:sz w:val="24"/>
          <w:szCs w:val="24"/>
        </w:rPr>
        <w:t xml:space="preserve"> года их количество составило 111 </w:t>
      </w:r>
      <w:r>
        <w:rPr>
          <w:sz w:val="24"/>
          <w:szCs w:val="24"/>
        </w:rPr>
        <w:t xml:space="preserve">семей</w:t>
      </w:r>
      <w:r>
        <w:rPr>
          <w:sz w:val="24"/>
          <w:szCs w:val="24"/>
        </w:rPr>
        <w:t xml:space="preserve">, в которых воспитывается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240</w:t>
      </w:r>
      <w:r>
        <w:rPr>
          <w:sz w:val="24"/>
          <w:szCs w:val="24"/>
        </w:rPr>
        <w:t xml:space="preserve"> детей. Лишены родительских прав </w:t>
      </w: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 законных представител</w:t>
      </w:r>
      <w:r>
        <w:rPr>
          <w:sz w:val="24"/>
          <w:szCs w:val="24"/>
        </w:rPr>
        <w:t xml:space="preserve">ей (11 семей)</w:t>
      </w:r>
      <w:r>
        <w:rPr>
          <w:sz w:val="24"/>
          <w:szCs w:val="24"/>
        </w:rPr>
        <w:t xml:space="preserve">. Как </w:t>
      </w:r>
      <w:r>
        <w:rPr>
          <w:sz w:val="24"/>
          <w:szCs w:val="24"/>
        </w:rPr>
        <w:t xml:space="preserve">положительную тенденцию прошед</w:t>
      </w:r>
      <w:r>
        <w:rPr>
          <w:sz w:val="24"/>
          <w:szCs w:val="24"/>
        </w:rPr>
        <w:t xml:space="preserve">шего</w:t>
      </w:r>
      <w:r>
        <w:rPr>
          <w:sz w:val="24"/>
          <w:szCs w:val="24"/>
        </w:rPr>
        <w:t xml:space="preserve"> года стоит отметить некоторое снижение числа подростков, совершивших преступления</w:t>
      </w:r>
      <w:r>
        <w:rPr>
          <w:sz w:val="24"/>
          <w:szCs w:val="24"/>
        </w:rPr>
        <w:t xml:space="preserve">, с 19</w:t>
      </w:r>
      <w:r>
        <w:rPr>
          <w:sz w:val="24"/>
          <w:szCs w:val="24"/>
        </w:rPr>
        <w:t xml:space="preserve"> до 9</w:t>
      </w:r>
      <w:r>
        <w:rPr>
          <w:sz w:val="24"/>
          <w:szCs w:val="24"/>
        </w:rPr>
        <w:t xml:space="preserve">. Увеличилось число семей, снятых с учета в связи с исправлением.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Совершенствованию межведомственного взаимодействия по выявлению и реабилитации несовершеннолетних и их семей, находящихся в социально опасном положении способствовало рассмотрение на комиссии вопросов: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</w:t>
      </w:r>
      <w:r>
        <w:rPr>
          <w:sz w:val="24"/>
          <w:szCs w:val="24"/>
        </w:rPr>
        <w:t xml:space="preserve"> профилактике жестокого обращения с детьми в семье и социального сиротства, оказании помощи детям в случаях жестокого обращения с ними;</w:t>
      </w:r>
      <w:r>
        <w:rPr>
          <w:sz w:val="24"/>
          <w:szCs w:val="24"/>
        </w:rPr>
      </w:r>
    </w:p>
    <w:p>
      <w:pPr>
        <w:pStyle w:val="652"/>
        <w:jc w:val="both"/>
        <w:tabs>
          <w:tab w:val="left" w:pos="3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состоянии преступности среди несовершеннолетних </w:t>
      </w:r>
      <w:r>
        <w:rPr>
          <w:sz w:val="24"/>
          <w:szCs w:val="24"/>
        </w:rPr>
        <w:t xml:space="preserve">(в том числе несовершеннолетних, не достигших возраста привлечения к уголовной ответственности)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и мерах по её предупреждению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52"/>
        <w:rPr>
          <w:sz w:val="24"/>
          <w:szCs w:val="24"/>
        </w:rPr>
      </w:pPr>
      <w:r>
        <w:rPr>
          <w:sz w:val="24"/>
          <w:szCs w:val="24"/>
        </w:rPr>
        <w:t xml:space="preserve">- о</w:t>
      </w:r>
      <w:r>
        <w:rPr>
          <w:sz w:val="24"/>
          <w:szCs w:val="24"/>
        </w:rPr>
        <w:t xml:space="preserve"> работе с несовершеннолетними, употребляющими  алкоголь, психоактивные вещества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52"/>
        <w:rPr>
          <w:sz w:val="24"/>
          <w:szCs w:val="24"/>
        </w:rPr>
      </w:pPr>
      <w:r>
        <w:rPr>
          <w:sz w:val="24"/>
          <w:szCs w:val="24"/>
        </w:rPr>
        <w:t xml:space="preserve">и др.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С целью выявления безнадзорных, беспризорных несовершеннолетних, снижение факторов риска вовлечения безнадзорных несовершеннолетних в процесс уличной жизни, сопряженной с асоциальным поведением и употреблением психоактивных веществ, выявление мест </w:t>
      </w:r>
      <w:r>
        <w:rPr>
          <w:sz w:val="24"/>
          <w:szCs w:val="24"/>
        </w:rPr>
        <w:t xml:space="preserve">концентрации несовершеннолетних, </w:t>
      </w:r>
      <w:r>
        <w:rPr>
          <w:sz w:val="24"/>
          <w:szCs w:val="24"/>
        </w:rPr>
        <w:t xml:space="preserve">комиссией по делам несовершеннолетних и защите их прав проводились </w:t>
      </w:r>
      <w:r>
        <w:rPr>
          <w:sz w:val="24"/>
          <w:szCs w:val="24"/>
        </w:rPr>
        <w:t xml:space="preserve">ежемесячные </w:t>
      </w:r>
      <w:r>
        <w:rPr>
          <w:sz w:val="24"/>
          <w:szCs w:val="24"/>
        </w:rPr>
        <w:t xml:space="preserve">рейдов</w:t>
      </w:r>
      <w:r>
        <w:rPr>
          <w:sz w:val="24"/>
          <w:szCs w:val="24"/>
        </w:rPr>
        <w:t xml:space="preserve">ые мероприятия «Ночной патруль»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Было</w:t>
      </w:r>
      <w:r>
        <w:rPr>
          <w:sz w:val="24"/>
          <w:szCs w:val="24"/>
        </w:rPr>
        <w:t xml:space="preserve"> проведено </w:t>
      </w:r>
      <w:r>
        <w:rPr>
          <w:sz w:val="24"/>
          <w:szCs w:val="24"/>
        </w:rPr>
        <w:t xml:space="preserve">16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таких</w:t>
      </w:r>
      <w:r>
        <w:rPr>
          <w:sz w:val="24"/>
          <w:szCs w:val="24"/>
        </w:rPr>
        <w:t xml:space="preserve"> рейдов, в ходе которых проверялись торговые точки,  кафе, подвалы, заброшенные здания</w:t>
      </w:r>
      <w:r>
        <w:rPr>
          <w:sz w:val="24"/>
          <w:szCs w:val="24"/>
        </w:rPr>
        <w:t xml:space="preserve">, сотрудниками полиции выявлено 49</w:t>
      </w:r>
      <w:r>
        <w:rPr>
          <w:sz w:val="24"/>
          <w:szCs w:val="24"/>
        </w:rPr>
        <w:t xml:space="preserve"> подростков, находящихся в ночное время на улицах города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роведено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межведомственных рейдовых мероприятий </w:t>
      </w:r>
      <w:r>
        <w:rPr>
          <w:sz w:val="24"/>
          <w:szCs w:val="24"/>
        </w:rPr>
        <w:t xml:space="preserve">«Социальный патруль-Семья» </w:t>
      </w:r>
      <w:r>
        <w:rPr>
          <w:sz w:val="24"/>
          <w:szCs w:val="24"/>
        </w:rPr>
        <w:t xml:space="preserve">различной профилактической направленности (обследование </w:t>
      </w:r>
      <w:r>
        <w:rPr>
          <w:sz w:val="24"/>
          <w:szCs w:val="24"/>
        </w:rPr>
        <w:t xml:space="preserve">жилищно- бытовых условий</w:t>
      </w:r>
      <w:r>
        <w:rPr>
          <w:sz w:val="24"/>
          <w:szCs w:val="24"/>
        </w:rPr>
        <w:t xml:space="preserve">, первичное социальное расследование, промежуточные контрольные выезды, проверка несовершеннолетних по месту жительства  и другие)</w:t>
      </w:r>
      <w:r>
        <w:rPr>
          <w:sz w:val="24"/>
          <w:szCs w:val="24"/>
        </w:rPr>
        <w:t xml:space="preserve">, посещено 314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 организации и проведении  индивидуальной профилактической работы с семьями СОП </w:t>
      </w:r>
      <w:r>
        <w:rPr>
          <w:sz w:val="24"/>
          <w:szCs w:val="24"/>
        </w:rPr>
        <w:t xml:space="preserve">все еще остается про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лемой</w:t>
      </w:r>
      <w:r>
        <w:rPr>
          <w:sz w:val="24"/>
          <w:szCs w:val="24"/>
        </w:rPr>
        <w:t xml:space="preserve">, прежде всего, заявительный характер работы органов и учреждений системы профилактики</w:t>
      </w:r>
      <w:r>
        <w:rPr>
          <w:sz w:val="24"/>
          <w:szCs w:val="24"/>
        </w:rPr>
        <w:t xml:space="preserve"> с законными представителями несовершеннолетних</w:t>
      </w:r>
      <w:r>
        <w:rPr>
          <w:sz w:val="24"/>
          <w:szCs w:val="24"/>
        </w:rPr>
        <w:t xml:space="preserve">, а также ограниченный «набор»  профилактических мер воздействия, направленный на выход семьи из социально опасного положе</w:t>
      </w:r>
      <w:r>
        <w:rPr>
          <w:sz w:val="24"/>
          <w:szCs w:val="24"/>
        </w:rPr>
        <w:t xml:space="preserve">ния и, чаще всего, эффективный результат приносят не помогающие, а запретительные и карающие меры, вплоть до определения жизнеустройства несовершеннолетнего в специализированные государственные учреждения, лишение родительских прав законных представителей.</w:t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Необходимо отметить то, что все вновь поставленные на учет семьи по категории СОП, в том числе, и семьи, находящиеся на учете определенное время, неоднократно обследованы по месту жительства, с несовершеннолетними и р</w:t>
      </w:r>
      <w:r>
        <w:rPr>
          <w:sz w:val="24"/>
          <w:szCs w:val="24"/>
        </w:rPr>
        <w:t xml:space="preserve">одителями проводится достаточная профилактическая работа (организация досуга, постановка на учет по медицинским показателям, консультационная помощь в различных сферах: психологическая, юридическая, трудоустройство и другое). Из вновь поставленных на учет </w:t>
      </w:r>
      <w:r>
        <w:rPr>
          <w:sz w:val="24"/>
          <w:szCs w:val="24"/>
        </w:rPr>
        <w:t xml:space="preserve">139</w:t>
      </w:r>
      <w:r>
        <w:rPr>
          <w:sz w:val="24"/>
          <w:szCs w:val="24"/>
        </w:rPr>
        <w:t xml:space="preserve"> семей, положительная динамика выхода из социально опасного положения на сегодняшний день, наблюдается в 12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семьях.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Практика работы показывает, что меры по отношению к семьям</w:t>
      </w:r>
      <w:r>
        <w:rPr>
          <w:sz w:val="24"/>
          <w:szCs w:val="24"/>
        </w:rPr>
        <w:t xml:space="preserve"> и несовершеннолетним</w:t>
      </w:r>
      <w:r>
        <w:rPr>
          <w:sz w:val="24"/>
          <w:szCs w:val="24"/>
        </w:rPr>
        <w:t xml:space="preserve">, попавшим в социально опасное положение должны носить системный х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рактер,</w:t>
      </w:r>
      <w:r>
        <w:rPr>
          <w:sz w:val="24"/>
          <w:szCs w:val="24"/>
        </w:rPr>
        <w:t xml:space="preserve"> постоянный контроль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принятие дополнительных мер</w:t>
      </w:r>
      <w:r>
        <w:rPr>
          <w:sz w:val="24"/>
          <w:szCs w:val="24"/>
        </w:rPr>
        <w:t xml:space="preserve"> по снижению преступности</w:t>
      </w:r>
      <w:r>
        <w:rPr>
          <w:sz w:val="24"/>
          <w:szCs w:val="24"/>
        </w:rPr>
        <w:t xml:space="preserve">, что учтен</w:t>
      </w:r>
      <w:r>
        <w:rPr>
          <w:sz w:val="24"/>
          <w:szCs w:val="24"/>
        </w:rPr>
        <w:t xml:space="preserve">о в плане работы комиссии на 2026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год,</w:t>
      </w:r>
      <w:r>
        <w:rPr>
          <w:sz w:val="24"/>
          <w:szCs w:val="24"/>
        </w:rPr>
        <w:t xml:space="preserve"> в целях  </w:t>
      </w:r>
      <w:r>
        <w:rPr>
          <w:sz w:val="24"/>
          <w:szCs w:val="24"/>
        </w:rPr>
        <w:t xml:space="preserve">обеспеч</w:t>
      </w:r>
      <w:r>
        <w:rPr>
          <w:sz w:val="24"/>
          <w:szCs w:val="24"/>
        </w:rPr>
        <w:t xml:space="preserve">ения </w:t>
      </w:r>
      <w:r>
        <w:rPr>
          <w:sz w:val="24"/>
          <w:szCs w:val="24"/>
        </w:rPr>
        <w:t xml:space="preserve"> координ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</w:t>
      </w:r>
      <w:r>
        <w:rPr>
          <w:sz w:val="24"/>
          <w:szCs w:val="24"/>
        </w:rPr>
        <w:t xml:space="preserve">и и результативности</w:t>
      </w:r>
      <w:r>
        <w:rPr>
          <w:sz w:val="24"/>
          <w:szCs w:val="24"/>
        </w:rPr>
        <w:t xml:space="preserve"> действий всех органов системы профилактики, безнадзорности и правонарушений н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совершеннолетних</w:t>
      </w:r>
      <w:r>
        <w:rPr>
          <w:sz w:val="24"/>
          <w:szCs w:val="24"/>
        </w:rPr>
        <w:t xml:space="preserve"> города Новоалтайска.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В период 2025 года, в Алтайском крае прошел федеральный проект «Вызов», направленный на семьесбережение и профилактику социального сиротства. Основная цель проекта заключается во внедрении подхода, который способствует сохранению семей, а также в сокращении</w:t>
      </w:r>
      <w:r>
        <w:rPr>
          <w:sz w:val="24"/>
          <w:szCs w:val="24"/>
        </w:rPr>
        <w:t xml:space="preserve"> числа детей, находящихся в социальных учреждениях. Алтайский край стал одним из 14 регионов, вошедших в пилотный проект. Новоалтайск принял активное участие в проекте, получив возможность улучшить жилищные условия трем многодетным семьям, признанным находя</w:t>
      </w:r>
      <w:r>
        <w:rPr>
          <w:sz w:val="24"/>
          <w:szCs w:val="24"/>
        </w:rPr>
        <w:t xml:space="preserve">щимися в социально опасном положении. В настоящее время межведомственная работа с которыми прекращена в связи с устранением причин и условий нарушения прав и законных интересов детей в семье.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комиссии по делам несовершеннолетних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защите их прав  </w:t>
      </w:r>
      <w:r>
        <w:rPr>
          <w:sz w:val="24"/>
          <w:szCs w:val="24"/>
        </w:rPr>
        <w:t xml:space="preserve">города Новоалтайска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Н.Г. Ерохина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2"/>
        <w:jc w:val="both"/>
      </w:pPr>
      <w:r>
        <w:t xml:space="preserve">Юлия Геннадьевна Казанцева</w:t>
      </w:r>
      <w:r/>
    </w:p>
    <w:p>
      <w:pPr>
        <w:pStyle w:val="652"/>
        <w:jc w:val="both"/>
      </w:pPr>
      <w:r>
        <w:t xml:space="preserve">8 (38532) 43228</w:t>
      </w:r>
      <w:r/>
    </w:p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1134" w:right="567" w:bottom="1134" w:left="158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rPr>
        <w:rStyle w:val="661"/>
      </w:rPr>
      <w:framePr w:wrap="around" w:vAnchor="text" w:hAnchor="margin" w:xAlign="right" w:y="1"/>
    </w:pPr>
    <w:r>
      <w:rPr>
        <w:rStyle w:val="661"/>
      </w:rPr>
      <w:fldChar w:fldCharType="begin"/>
    </w:r>
    <w:r>
      <w:rPr>
        <w:rStyle w:val="661"/>
      </w:rPr>
      <w:instrText xml:space="preserve">PAGE  </w:instrText>
    </w:r>
    <w:r>
      <w:rPr>
        <w:rStyle w:val="661"/>
      </w:rPr>
      <w:fldChar w:fldCharType="separate"/>
    </w:r>
    <w:r>
      <w:rPr>
        <w:rStyle w:val="661"/>
      </w:rPr>
      <w:t xml:space="preserve">1</w:t>
    </w:r>
    <w:r>
      <w:rPr>
        <w:rStyle w:val="661"/>
      </w:rPr>
      <w:fldChar w:fldCharType="end"/>
    </w:r>
    <w:r>
      <w:rPr>
        <w:rStyle w:val="661"/>
      </w:rPr>
    </w:r>
    <w:r>
      <w:rPr>
        <w:rStyle w:val="661"/>
      </w:rPr>
    </w:r>
  </w:p>
  <w:p>
    <w:pPr>
      <w:pStyle w:val="66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rPr>
        <w:rStyle w:val="661"/>
      </w:rPr>
      <w:framePr w:wrap="around" w:vAnchor="text" w:hAnchor="margin" w:xAlign="right" w:y="1"/>
    </w:pPr>
    <w:r>
      <w:rPr>
        <w:rStyle w:val="661"/>
      </w:rPr>
      <w:fldChar w:fldCharType="begin"/>
    </w:r>
    <w:r>
      <w:rPr>
        <w:rStyle w:val="661"/>
      </w:rPr>
      <w:instrText xml:space="preserve">PAGE  </w:instrText>
    </w:r>
    <w:r>
      <w:rPr>
        <w:rStyle w:val="661"/>
      </w:rPr>
      <w:fldChar w:fldCharType="end"/>
    </w:r>
    <w:r>
      <w:rPr>
        <w:rStyle w:val="661"/>
      </w:rPr>
    </w:r>
    <w:r>
      <w:rPr>
        <w:rStyle w:val="661"/>
      </w:rPr>
    </w:r>
  </w:p>
  <w:p>
    <w:pPr>
      <w:pStyle w:val="66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2"/>
    <w:next w:val="6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2"/>
    <w:next w:val="65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next w:val="652"/>
    <w:link w:val="652"/>
    <w:qFormat/>
    <w:rPr>
      <w:lang w:val="ru-RU" w:eastAsia="ru-RU" w:bidi="ar-SA"/>
    </w:rPr>
  </w:style>
  <w:style w:type="paragraph" w:styleId="653">
    <w:name w:val="Заголовок 1"/>
    <w:basedOn w:val="652"/>
    <w:next w:val="652"/>
    <w:link w:val="652"/>
    <w:qFormat/>
    <w:pPr>
      <w:keepNext/>
      <w:outlineLvl w:val="0"/>
    </w:pPr>
    <w:rPr>
      <w:sz w:val="28"/>
    </w:rPr>
  </w:style>
  <w:style w:type="character" w:styleId="654">
    <w:name w:val="Основной шрифт абзаца"/>
    <w:next w:val="654"/>
    <w:link w:val="652"/>
    <w:semiHidden/>
  </w:style>
  <w:style w:type="table" w:styleId="655">
    <w:name w:val="Обычная таблица"/>
    <w:next w:val="655"/>
    <w:link w:val="652"/>
    <w:semiHidden/>
    <w:tblPr/>
  </w:style>
  <w:style w:type="numbering" w:styleId="656">
    <w:name w:val="Нет списка"/>
    <w:next w:val="656"/>
    <w:link w:val="652"/>
    <w:semiHidden/>
  </w:style>
  <w:style w:type="table" w:styleId="657">
    <w:name w:val="Сетка таблицы"/>
    <w:basedOn w:val="655"/>
    <w:next w:val="657"/>
    <w:link w:val="652"/>
    <w:tblPr/>
  </w:style>
  <w:style w:type="paragraph" w:styleId="658">
    <w:name w:val="Текст выноски"/>
    <w:basedOn w:val="652"/>
    <w:next w:val="658"/>
    <w:link w:val="659"/>
    <w:rPr>
      <w:rFonts w:ascii="Tahoma" w:hAnsi="Tahoma" w:cs="Tahoma"/>
      <w:sz w:val="16"/>
      <w:szCs w:val="16"/>
    </w:rPr>
  </w:style>
  <w:style w:type="character" w:styleId="659">
    <w:name w:val="Текст выноски Знак"/>
    <w:basedOn w:val="654"/>
    <w:next w:val="659"/>
    <w:link w:val="658"/>
    <w:rPr>
      <w:rFonts w:ascii="Tahoma" w:hAnsi="Tahoma" w:cs="Tahoma"/>
      <w:sz w:val="16"/>
      <w:szCs w:val="16"/>
    </w:rPr>
  </w:style>
  <w:style w:type="paragraph" w:styleId="660">
    <w:name w:val="Нижний колонтитул"/>
    <w:basedOn w:val="652"/>
    <w:next w:val="660"/>
    <w:link w:val="652"/>
    <w:pPr>
      <w:tabs>
        <w:tab w:val="center" w:pos="4677" w:leader="none"/>
        <w:tab w:val="right" w:pos="9355" w:leader="none"/>
      </w:tabs>
    </w:pPr>
  </w:style>
  <w:style w:type="character" w:styleId="661">
    <w:name w:val="Номер страницы"/>
    <w:basedOn w:val="654"/>
    <w:next w:val="661"/>
    <w:link w:val="652"/>
  </w:style>
  <w:style w:type="character" w:styleId="912" w:default="1">
    <w:name w:val="Default Paragraph Font"/>
    <w:uiPriority w:val="1"/>
    <w:semiHidden/>
    <w:unhideWhenUsed/>
  </w:style>
  <w:style w:type="numbering" w:styleId="913" w:default="1">
    <w:name w:val="No List"/>
    <w:uiPriority w:val="99"/>
    <w:semiHidden/>
    <w:unhideWhenUsed/>
  </w:style>
  <w:style w:type="table" w:styleId="9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505.ru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итогах работы комиссии по делам несовершеннолетних и защите их прав города Новоалтайска за 2015  год</dc:title>
  <dc:creator>user</dc:creator>
  <cp:lastModifiedBy>ЮГКазанцева</cp:lastModifiedBy>
  <cp:revision>3</cp:revision>
  <dcterms:created xsi:type="dcterms:W3CDTF">2025-01-21T01:49:00Z</dcterms:created>
  <dcterms:modified xsi:type="dcterms:W3CDTF">2026-01-23T03:09:39Z</dcterms:modified>
  <cp:version>786432</cp:version>
</cp:coreProperties>
</file>