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деятельности отдела по социальным вопросам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2024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rStyle w:val="856"/>
          <w:sz w:val="28"/>
          <w:szCs w:val="28"/>
        </w:rPr>
        <w:t xml:space="preserve">Отделом по социальным вопросам Администрации города </w:t>
      </w:r>
      <w:r>
        <w:rPr>
          <w:sz w:val="28"/>
          <w:szCs w:val="28"/>
        </w:rPr>
        <w:t xml:space="preserve">реализуется муниципальная политика в сфере социальной поддержки пенсионеров, инвалидов, семей с детьми, а также других групп населения, нуждающихся в социальной помощи.</w:t>
      </w:r>
      <w:r>
        <w:rPr>
          <w:rStyle w:val="856"/>
          <w:sz w:val="28"/>
          <w:szCs w:val="28"/>
        </w:rPr>
        <w:t xml:space="preserve">В</w:t>
      </w:r>
      <w:r>
        <w:rPr>
          <w:sz w:val="28"/>
          <w:szCs w:val="28"/>
        </w:rPr>
        <w:t xml:space="preserve"> 2024 году велась работа по направлениям: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-оказание социальной поддержки  участникам специальной военной операции;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предоставление материальной помощи граждан</w:t>
      </w:r>
      <w:r>
        <w:rPr>
          <w:sz w:val="28"/>
          <w:szCs w:val="28"/>
        </w:rPr>
        <w:t xml:space="preserve">ам, находящимся в трудной жизненной ситуации;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материальной помощи на возмещение расходов на поминальный обед членам семьи погибшего военнослужащего при исполнении служебного долга в ходе проведения специальной военной операции на территории</w:t>
      </w:r>
      <w:r>
        <w:rPr>
          <w:sz w:val="28"/>
          <w:szCs w:val="28"/>
        </w:rPr>
        <w:t xml:space="preserve"> Украины;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pBdr/>
        <w:spacing/>
        <w:ind w:firstLine="709"/>
        <w:rPr>
          <w:szCs w:val="28"/>
        </w:rPr>
      </w:pPr>
      <w:r>
        <w:rPr>
          <w:szCs w:val="28"/>
        </w:rPr>
        <w:t xml:space="preserve">- предоставление компенсации части стоимости единого проездного билета пенсионерам города;</w:t>
      </w:r>
      <w:r>
        <w:rPr>
          <w:szCs w:val="28"/>
        </w:rPr>
      </w:r>
      <w:r>
        <w:rPr>
          <w:szCs w:val="28"/>
        </w:rPr>
      </w:r>
    </w:p>
    <w:p>
      <w:pPr>
        <w:pStyle w:val="854"/>
        <w:pBdr/>
        <w:spacing/>
        <w:ind w:firstLine="709"/>
        <w:rPr/>
      </w:pPr>
      <w:r>
        <w:t xml:space="preserve">- обеспечение жильем молодых семей, нуждающихся в улучшении жилищных условий;</w:t>
      </w:r>
      <w:r/>
    </w:p>
    <w:p>
      <w:pPr>
        <w:pStyle w:val="854"/>
        <w:pBdr/>
        <w:spacing/>
        <w:ind w:firstLine="709"/>
        <w:rPr/>
      </w:pPr>
      <w:r>
        <w:t xml:space="preserve">- организация и проведение заседаний работы коллегиальных органов, созданных </w:t>
      </w:r>
      <w:r>
        <w:t xml:space="preserve">с целью межведомственного взаимодействия и согласованности действий заинтересованных органов и организаций города в сфере социальной политики;</w:t>
      </w:r>
      <w:r/>
    </w:p>
    <w:p>
      <w:pPr>
        <w:pStyle w:val="854"/>
        <w:pBdr/>
        <w:spacing/>
        <w:ind w:firstLine="709"/>
        <w:rPr/>
      </w:pPr>
      <w:r>
        <w:t xml:space="preserve">- проведение </w:t>
      </w:r>
      <w:r>
        <w:rPr>
          <w:szCs w:val="28"/>
        </w:rPr>
        <w:t xml:space="preserve"> координационного Совета по делам инвалидов,</w:t>
      </w:r>
      <w:r>
        <w:t xml:space="preserve">участие в организации мероприятий по формированию доступ</w:t>
      </w:r>
      <w:r>
        <w:t xml:space="preserve">ной среды для инвалидов, проведение благотворительных акций; </w:t>
      </w:r>
      <w:r/>
    </w:p>
    <w:p>
      <w:pPr>
        <w:pStyle w:val="854"/>
        <w:pBdr/>
        <w:spacing/>
        <w:ind w:firstLine="709"/>
        <w:rPr>
          <w:highlight w:val="none"/>
        </w:rPr>
      </w:pPr>
      <w:r>
        <w:t xml:space="preserve">- организация и проведение мероприятий для различных категорий населения, нуждающихся в социальной поддержке.</w:t>
      </w:r>
      <w:r>
        <w:rPr>
          <w:highlight w:val="none"/>
        </w:rPr>
      </w:r>
    </w:p>
    <w:p>
      <w:pPr>
        <w:pStyle w:val="854"/>
        <w:pBdr/>
        <w:spacing/>
        <w:ind w:firstLine="709"/>
        <w:rPr/>
      </w:pPr>
      <w:r>
        <w:rPr>
          <w:highlight w:val="none"/>
        </w:rPr>
        <w:t xml:space="preserve">А</w:t>
      </w:r>
      <w:r>
        <w:rPr>
          <w:highlight w:val="none"/>
        </w:rPr>
        <w:t xml:space="preserve">дминистрация города Новоалтайска взаимодействует с Фондом поддержки участников специальной военной операции «Защитники Отечества». Совместно с фондом «Защитники Отечества»  проводит  обследование жилых помещений инвалидов и общего имущества в многоквартирн</w:t>
      </w:r>
      <w:r>
        <w:rPr>
          <w:highlight w:val="none"/>
        </w:rPr>
        <w:t xml:space="preserve">ы</w:t>
      </w:r>
      <w:r>
        <w:rPr>
          <w:highlight w:val="none"/>
        </w:rPr>
        <w:t xml:space="preserve">х домах, в которых проживают инвалиды, в целях их приспособления с учетом потребностей инвалидов и обеспечения условий их доступности для инвалидов. В 2024 году провели  обследования 4 жилых помещений инвалидов участников специальной военной операции. За с</w:t>
      </w:r>
      <w:r>
        <w:rPr>
          <w:highlight w:val="none"/>
        </w:rPr>
        <w:t xml:space="preserve">ч</w:t>
      </w:r>
      <w:r>
        <w:rPr>
          <w:highlight w:val="none"/>
        </w:rPr>
        <w:t xml:space="preserve">ет средств Фонда «Защитники Отечества» жилые помещения будут приспособлены с учетом  потребностей инвалидов участников СВО (адаптированный дверной блок, сидение для ванны, противоскользящая лента, прикроватный столик, ванна для мытья инвалида, лестничные </w:t>
      </w:r>
      <w:r>
        <w:rPr>
          <w:highlight w:val="none"/>
        </w:rPr>
        <w:t xml:space="preserve">подъемные устройства (подъемники), датчики: дыма, воды, умный цоколь, умная розетка, робот пылесос, открыватель штор, умный выключатель и т.д.).</w:t>
      </w:r>
      <w:r/>
    </w:p>
    <w:p>
      <w:pPr>
        <w:pStyle w:val="854"/>
        <w:pBdr/>
        <w:spacing/>
        <w:ind w:firstLine="709"/>
        <w:rPr/>
      </w:pPr>
      <w:r>
        <w:rPr>
          <w:highlight w:val="none"/>
        </w:rPr>
        <w:t xml:space="preserve"> </w:t>
      </w:r>
      <w:r>
        <w:rPr>
          <w:highlight w:val="none"/>
        </w:rPr>
        <w:t xml:space="preserve">В соответствии с  Указом Губернатора Алтайского края от 28.10.2022 №167 «О дополнительных мерах социальной поддержки семей граждан, призванных на военную службу», постановлением Администрации города Новоалтайска от 08.11.2022 №2207 «О дополнительных мерах </w:t>
      </w:r>
      <w:r>
        <w:rPr>
          <w:highlight w:val="none"/>
        </w:rPr>
        <w:t xml:space="preserve">социальной поддержки семей граждан, призванных на военную службу» семьям военнослужащих участвующих в специальной военной операции на территории Украины,  предоставляются следующие меры социальной поддержки:</w:t>
      </w:r>
      <w:r/>
    </w:p>
    <w:p>
      <w:pPr>
        <w:pStyle w:val="854"/>
        <w:pBdr/>
        <w:spacing/>
        <w:ind w:firstLine="709"/>
        <w:rPr/>
      </w:pPr>
      <w:r>
        <w:rPr>
          <w:highlight w:val="none"/>
        </w:rPr>
        <w:t xml:space="preserve">1.Предоставление бесплатного горячего питания детям, обучающимся в муниципальных образовательных организациях города Новоалтайска Алтайского края  по образовательным программам основного общего и среднего образования. </w:t>
      </w:r>
      <w:r/>
    </w:p>
    <w:p>
      <w:pPr>
        <w:pStyle w:val="854"/>
        <w:pBdr/>
        <w:spacing/>
        <w:ind w:firstLine="709"/>
        <w:rPr/>
      </w:pPr>
      <w:r>
        <w:rPr>
          <w:highlight w:val="none"/>
        </w:rPr>
        <w:t xml:space="preserve">Количество обучающих детей, получающих бесплатное горячее питание в образовательной организации города составляет -127.</w:t>
      </w:r>
      <w:r/>
    </w:p>
    <w:p>
      <w:pPr>
        <w:pStyle w:val="854"/>
        <w:pBdr/>
        <w:spacing/>
        <w:ind w:firstLine="709"/>
        <w:rPr/>
      </w:pPr>
      <w:r>
        <w:rPr>
          <w:highlight w:val="none"/>
        </w:rPr>
        <w:t xml:space="preserve">2. Внеочередное зачисление детей военнослужащих по достижении ими возраста полутора лет в муниципальные организации города Новоалтайска Алтайского края, реализующие образовательную программу дошкольного образования (при наличии свободных мест). </w:t>
      </w:r>
      <w:r/>
    </w:p>
    <w:p>
      <w:pPr>
        <w:pStyle w:val="854"/>
        <w:pBdr/>
        <w:spacing/>
        <w:ind w:firstLine="709"/>
        <w:rPr/>
      </w:pPr>
      <w:r>
        <w:rPr>
          <w:highlight w:val="none"/>
        </w:rPr>
        <w:t xml:space="preserve">3</w:t>
      </w:r>
      <w:r>
        <w:rPr>
          <w:highlight w:val="none"/>
        </w:rPr>
        <w:t xml:space="preserve">. Освобождение от платы за присмотр и уход за детьми, посещающими муниципальные образовательные  организации города Новоалтайска Алтайского края, реализующие образовательную программу дошкольного образования, одним из родителей, которых является военнослуж</w:t>
      </w:r>
      <w:r>
        <w:rPr>
          <w:highlight w:val="none"/>
        </w:rPr>
        <w:t xml:space="preserve">ащий. </w:t>
      </w:r>
      <w:r/>
    </w:p>
    <w:p>
      <w:pPr>
        <w:pStyle w:val="854"/>
        <w:pBdr/>
        <w:spacing/>
        <w:ind w:firstLine="709"/>
        <w:rPr/>
      </w:pPr>
      <w:r>
        <w:rPr>
          <w:highlight w:val="none"/>
        </w:rPr>
        <w:t xml:space="preserve">Количество родителей  (законных представителей), которые  освобождены от оплаты за детский сад составляет - 155.</w:t>
      </w:r>
      <w:r/>
    </w:p>
    <w:p>
      <w:pPr>
        <w:pStyle w:val="854"/>
        <w:pBdr/>
        <w:spacing/>
        <w:ind w:firstLine="709"/>
        <w:rPr/>
      </w:pPr>
      <w:r>
        <w:rPr>
          <w:highlight w:val="none"/>
        </w:rPr>
        <w:t xml:space="preserve">З</w:t>
      </w:r>
      <w:r>
        <w:rPr>
          <w:highlight w:val="none"/>
        </w:rPr>
        <w:t xml:space="preserve">емельные участки участникам специальной военной операции предоставляются в соответствии законом Алтайского края от 07.09.2023 N 45-ЗС «О случаях и порядке предоставления в собственность бесплатно земельных участков на территории Алтайского края отдельным к</w:t>
      </w:r>
      <w:r>
        <w:rPr>
          <w:highlight w:val="none"/>
        </w:rPr>
        <w:t xml:space="preserve">атегориям граждан в связи с их участием в специальной военной операции». Участникам СВО и членам их семей в 2024  году предоставили 6 земельных участков.</w:t>
      </w:r>
      <w:r>
        <w:rPr>
          <w:highlight w:val="none"/>
        </w:rPr>
      </w:r>
      <w:r/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  <w:t xml:space="preserve">Материальная помощь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возмещение расходов на поминальный обед в связи с погребе</w:t>
      </w:r>
      <w:r>
        <w:rPr>
          <w:b/>
          <w:sz w:val="28"/>
          <w:szCs w:val="28"/>
        </w:rPr>
        <w:t xml:space="preserve">нием военнослужащего,</w:t>
      </w:r>
      <w:r>
        <w:rPr>
          <w:sz w:val="28"/>
          <w:szCs w:val="28"/>
        </w:rPr>
        <w:t xml:space="preserve"> погибшего при исполнении служебного долга в ходе проведения специальной военной операции на территории Украины оказана семьям военнослужащих на сумму 2071,5 тысяч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tabs>
          <w:tab w:val="left" w:leader="none" w:pos="54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 материальной помощью в связи с трудной жизненной ситуацией в 2024 году</w:t>
      </w:r>
      <w:r>
        <w:rPr>
          <w:sz w:val="28"/>
          <w:szCs w:val="28"/>
        </w:rPr>
        <w:t xml:space="preserve"> в Администрацию города обратилось 25 граждан. По результатам рассмотрения заявлений на заседании городской комиссии ма</w:t>
      </w:r>
      <w:r>
        <w:rPr>
          <w:sz w:val="28"/>
          <w:szCs w:val="28"/>
        </w:rPr>
        <w:t xml:space="preserve">териальная помощь была оказана 1 заявителю  в связи с подтоплением дома, 1 заявителю  в связи с тяжелым заболеванием у несовершеннолетнего ребенка, 20 заявителям на восстановление жилья после пожара, 3 гражданам отказано на основании того, что пострадавшее </w:t>
      </w:r>
      <w:r>
        <w:rPr>
          <w:sz w:val="28"/>
          <w:szCs w:val="28"/>
        </w:rPr>
        <w:t xml:space="preserve">в пожаре жилье не является собственностью заявителя,  Размер материальной помощи из бюджета города в 2024 году составил 675,0 тысяч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Продолжена работа по предоставлению </w:t>
      </w:r>
      <w:r>
        <w:rPr>
          <w:b/>
          <w:sz w:val="28"/>
          <w:szCs w:val="28"/>
        </w:rPr>
        <w:t xml:space="preserve">компенсации части стоимости единого проездного билета пенсионерам</w:t>
      </w:r>
      <w:r>
        <w:rPr>
          <w:sz w:val="28"/>
          <w:szCs w:val="28"/>
        </w:rPr>
        <w:t xml:space="preserve"> города, не учт</w:t>
      </w:r>
      <w:r>
        <w:rPr>
          <w:sz w:val="28"/>
          <w:szCs w:val="28"/>
        </w:rPr>
        <w:t xml:space="preserve">енным в федеральном и краевом реестрах получателей мер социальной поддержки, </w:t>
      </w:r>
      <w:r>
        <w:rPr>
          <w:sz w:val="28"/>
          <w:szCs w:val="28"/>
        </w:rPr>
        <w:t xml:space="preserve">воспользовавшихся правом приобретения единого проездного билета в период с мая по октябрь. В 2024 году поступило 36 заявлений от пенсионеров города (в 2023 - 35 заявлений). Расходы</w:t>
      </w:r>
      <w:r>
        <w:rPr>
          <w:sz w:val="28"/>
          <w:szCs w:val="28"/>
        </w:rPr>
        <w:t xml:space="preserve"> бюджета города на данную выплату  составили 40,4 тысяч рублей (в  2023 году – 37,4 тысяч рублей).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списке участников муниципальной программы «Обеспечение доступным и комфортным жильем молодых семей в городе Новоалтайске на 2021-2025 годы», сформированном </w:t>
      </w:r>
      <w:r>
        <w:rPr>
          <w:sz w:val="28"/>
          <w:szCs w:val="28"/>
        </w:rPr>
        <w:t xml:space="preserve">на 2025 год и утвержденном  Администрацией города 01.06.2024 года, состоит 121 молодая семья, в том числе 7 многодетных молодых семей.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Правом на получение социальной вып</w:t>
      </w:r>
      <w:r>
        <w:rPr>
          <w:sz w:val="28"/>
          <w:szCs w:val="28"/>
        </w:rPr>
        <w:t xml:space="preserve">латы на приобретение (строительство) жилья в рамках муниципальной программы в 2024 году воспользовались 14 молодых семей (в 2023 году - 22 семьи, 2022 году – 40 семей).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данной выплаты было направлено </w:t>
      </w:r>
      <w:r>
        <w:rPr>
          <w:bCs/>
          <w:sz w:val="28"/>
          <w:szCs w:val="28"/>
        </w:rPr>
        <w:t xml:space="preserve">31 248,4 тыс.</w:t>
      </w:r>
      <w:r>
        <w:rPr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 (в 2023 году - </w:t>
      </w:r>
      <w:r>
        <w:rPr>
          <w:bCs/>
          <w:sz w:val="28"/>
          <w:szCs w:val="28"/>
        </w:rPr>
        <w:t xml:space="preserve">32 778,6 тыс. </w:t>
      </w:r>
      <w:r>
        <w:rPr>
          <w:sz w:val="28"/>
          <w:szCs w:val="28"/>
        </w:rPr>
        <w:t xml:space="preserve"> рублей;</w:t>
      </w:r>
      <w:r>
        <w:rPr>
          <w:sz w:val="28"/>
          <w:szCs w:val="28"/>
        </w:rPr>
        <w:t xml:space="preserve"> в 2022 году - </w:t>
      </w:r>
      <w:r>
        <w:rPr>
          <w:bCs/>
          <w:sz w:val="28"/>
          <w:szCs w:val="28"/>
        </w:rPr>
        <w:t xml:space="preserve">39 656,7 тыс. 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). Средний размер жилищного сертификата в 2024 году составил 2211,0 тыс. рублей (2023 году составил 1489,9 тыс. рублей, в 2022 году  – 991,4 тыс. рублей).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обеспечению жильем молодых семей регионального проекта «Создание условий для обеспечения доступным и комфортным жильем отдельных категорий граждан Алтайского края» государственной программы Алтайского края «Обеспечение доступным и комфортным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жильем населения Алтайского края»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в городе Новоалтайске с 2006 года позволила обеспечить жильем</w:t>
      </w:r>
      <w:r>
        <w:rPr>
          <w:rFonts w:ascii="Times New Roman" w:hAnsi="Times New Roman" w:cs="Times New Roman"/>
          <w:sz w:val="28"/>
          <w:szCs w:val="28"/>
        </w:rPr>
        <w:t xml:space="preserve"> 608 молодых семей.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                                       Ю.В. Светлова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1060"/>
        </w:tabs>
        <w:spacing/>
        <w:ind/>
        <w:rPr/>
      </w:pPr>
      <w:r/>
      <w:r/>
    </w:p>
    <w:p>
      <w:pPr>
        <w:pBdr/>
        <w:tabs>
          <w:tab w:val="left" w:leader="none" w:pos="1060"/>
        </w:tabs>
        <w:spacing/>
        <w:ind/>
        <w:rPr/>
      </w:pPr>
      <w:r/>
      <w:r/>
    </w:p>
    <w:p>
      <w:pPr>
        <w:pBdr/>
        <w:tabs>
          <w:tab w:val="left" w:leader="none" w:pos="1060"/>
        </w:tabs>
        <w:spacing/>
        <w:ind/>
        <w:rPr/>
      </w:pPr>
      <w:r/>
      <w:r/>
    </w:p>
    <w:p>
      <w:pPr>
        <w:pBdr/>
        <w:spacing/>
        <w:ind w:right="-1"/>
        <w:rPr/>
      </w:pPr>
      <w:r/>
      <w:r/>
    </w:p>
    <w:sectPr>
      <w:footnotePr/>
      <w:endnotePr/>
      <w:type w:val="nextPage"/>
      <w:pgSz w:h="16838" w:orient="portrait" w:w="11906"/>
      <w:pgMar w:top="709" w:right="707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Title Char"/>
    <w:basedOn w:val="675"/>
    <w:link w:val="82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69">
    <w:name w:val="Subtitle Char"/>
    <w:basedOn w:val="675"/>
    <w:link w:val="82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70">
    <w:name w:val="Quote Char"/>
    <w:basedOn w:val="675"/>
    <w:link w:val="82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71">
    <w:name w:val="Intense Quote Char"/>
    <w:basedOn w:val="675"/>
    <w:link w:val="83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72">
    <w:name w:val="Footnote Text Char"/>
    <w:basedOn w:val="675"/>
    <w:link w:val="844"/>
    <w:uiPriority w:val="99"/>
    <w:semiHidden/>
    <w:pPr>
      <w:pBdr/>
      <w:spacing/>
      <w:ind/>
    </w:pPr>
    <w:rPr>
      <w:sz w:val="20"/>
      <w:szCs w:val="20"/>
    </w:rPr>
  </w:style>
  <w:style w:type="character" w:styleId="673">
    <w:name w:val="Endnote Text Char"/>
    <w:basedOn w:val="675"/>
    <w:link w:val="847"/>
    <w:uiPriority w:val="99"/>
    <w:semiHidden/>
    <w:pPr>
      <w:pBdr/>
      <w:spacing/>
      <w:ind/>
    </w:pPr>
    <w:rPr>
      <w:sz w:val="20"/>
      <w:szCs w:val="20"/>
    </w:rPr>
  </w:style>
  <w:style w:type="paragraph" w:styleId="674" w:default="1">
    <w:name w:val="Normal"/>
    <w:qFormat/>
    <w:pPr>
      <w:pBdr/>
      <w:spacing/>
      <w:ind/>
    </w:pPr>
    <w:rPr>
      <w:sz w:val="24"/>
      <w:szCs w:val="24"/>
      <w:lang w:eastAsia="ru-RU"/>
    </w:rPr>
  </w:style>
  <w:style w:type="character" w:styleId="675" w:default="1">
    <w:name w:val="Default Paragraph Font"/>
    <w:uiPriority w:val="1"/>
    <w:semiHidden/>
    <w:unhideWhenUsed/>
    <w:pPr>
      <w:pBdr/>
      <w:spacing/>
      <w:ind/>
    </w:pPr>
  </w:style>
  <w:style w:type="table" w:styleId="676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7" w:default="1">
    <w:name w:val="No List"/>
    <w:uiPriority w:val="99"/>
    <w:semiHidden/>
    <w:unhideWhenUsed/>
    <w:pPr>
      <w:pBdr/>
      <w:spacing/>
      <w:ind/>
    </w:pPr>
  </w:style>
  <w:style w:type="table" w:styleId="678">
    <w:name w:val="Table Grid"/>
    <w:basedOn w:val="676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 w:customStyle="1">
    <w:name w:val="Table Grid Light"/>
    <w:basedOn w:val="676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 w:customStyle="1">
    <w:name w:val="Plain Table 1"/>
    <w:basedOn w:val="676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 w:customStyle="1">
    <w:name w:val="Plain Table 2"/>
    <w:basedOn w:val="676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 w:customStyle="1">
    <w:name w:val="Plain Table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 w:customStyle="1">
    <w:name w:val="Plain Table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 w:customStyle="1">
    <w:name w:val="Plain Table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 w:customStyle="1">
    <w:name w:val="Grid Table 1 Light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 w:customStyle="1">
    <w:name w:val="Grid Table 1 Light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 w:customStyle="1">
    <w:name w:val="Grid Table 1 Light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 w:customStyle="1">
    <w:name w:val="Grid Table 1 Light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 w:customStyle="1">
    <w:name w:val="Grid Table 1 Light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Grid Table 1 Light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 w:customStyle="1">
    <w:name w:val="Grid Table 1 Light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 w:customStyle="1">
    <w:name w:val="Grid Table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 w:customStyle="1">
    <w:name w:val="Grid Table 2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 w:customStyle="1">
    <w:name w:val="Grid Table 2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 w:customStyle="1">
    <w:name w:val="Grid Table 2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 w:customStyle="1">
    <w:name w:val="Grid Table 2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2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2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3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3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3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 w:customStyle="1">
    <w:name w:val="Grid Table 3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3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3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4"/>
    <w:basedOn w:val="67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4 - Accent 1"/>
    <w:basedOn w:val="67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4 - Accent 2"/>
    <w:basedOn w:val="67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4 - Accent 3"/>
    <w:basedOn w:val="67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4 - Accent 4"/>
    <w:basedOn w:val="67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4 - Accent 5"/>
    <w:basedOn w:val="67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4 - Accent 6"/>
    <w:basedOn w:val="67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5 Dark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5 Dark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5 Dark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5 Dark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5 Dark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5 Dark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5 Dark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6 Colorful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6 Colorful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6 Colorful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6 Colorful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6 Colorful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6 Colorful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6 Colorful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7 Colorful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7 Colorful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7 Colorful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7 Colorful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7 Colorful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7 Colorful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7 Colorful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List Table 1 Light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List Table 1 Light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List Table 1 Light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List Table 1 Light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List Table 1 Light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List Table 1 Light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List Table 1 Light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List Table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List Table 2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List Table 2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List Table 2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List Table 2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2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2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3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3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3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List Table 3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3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3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4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4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4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4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4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4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5 Dark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5 Dark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5 Dark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5 Dark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5 Dark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5 Dark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5 Dark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6 Colorful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6 Colorful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6 Colorful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6 Colorful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6 Colorful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6 Colorful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6 Colorful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7 Colorful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7 Colorful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7 Colorful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7 Colorful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7 Colorful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7 Colorful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7 Colorful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ned - Accent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ned - Accent 1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ned - Accent 2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ned - Accent 3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ned - Accent 4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ned - Accent 5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ned - Accent 6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Bordered &amp; Lined - Accent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Bordered &amp; Lined - Accent 1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Bordered &amp; Lined - Accent 2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Bordered &amp; Lined - Accent 3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Bordered &amp; Lined - Accent 4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Bordered &amp; Lined - Accent 5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Bordered &amp; Lined - Accent 6"/>
    <w:basedOn w:val="67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Bordered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Bordered - Accent 1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Bordered - Accent 2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Bordered - Accent 3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- Accent 4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- Accent 5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- Accent 6"/>
    <w:basedOn w:val="67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4" w:customStyle="1">
    <w:name w:val="Heading 1"/>
    <w:basedOn w:val="674"/>
    <w:next w:val="674"/>
    <w:link w:val="81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paragraph" w:styleId="805" w:customStyle="1">
    <w:name w:val="Heading 2"/>
    <w:basedOn w:val="674"/>
    <w:next w:val="674"/>
    <w:link w:val="81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806" w:customStyle="1">
    <w:name w:val="Heading 3"/>
    <w:basedOn w:val="674"/>
    <w:next w:val="674"/>
    <w:link w:val="81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807" w:customStyle="1">
    <w:name w:val="Heading 4"/>
    <w:basedOn w:val="674"/>
    <w:next w:val="674"/>
    <w:link w:val="81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808" w:customStyle="1">
    <w:name w:val="Heading 5"/>
    <w:basedOn w:val="674"/>
    <w:next w:val="674"/>
    <w:link w:val="81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809" w:customStyle="1">
    <w:name w:val="Heading 6"/>
    <w:basedOn w:val="674"/>
    <w:next w:val="674"/>
    <w:link w:val="81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10" w:customStyle="1">
    <w:name w:val="Heading 7"/>
    <w:basedOn w:val="674"/>
    <w:next w:val="674"/>
    <w:link w:val="81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1" w:customStyle="1">
    <w:name w:val="Heading 8"/>
    <w:basedOn w:val="674"/>
    <w:next w:val="674"/>
    <w:link w:val="82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2" w:customStyle="1">
    <w:name w:val="Heading 9"/>
    <w:basedOn w:val="674"/>
    <w:next w:val="674"/>
    <w:link w:val="82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3" w:customStyle="1">
    <w:name w:val="Heading 1 Char"/>
    <w:basedOn w:val="675"/>
    <w:link w:val="80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14" w:customStyle="1">
    <w:name w:val="Heading 2 Char"/>
    <w:basedOn w:val="675"/>
    <w:link w:val="80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15" w:customStyle="1">
    <w:name w:val="Heading 3 Char"/>
    <w:basedOn w:val="675"/>
    <w:link w:val="80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16" w:customStyle="1">
    <w:name w:val="Heading 4 Char"/>
    <w:basedOn w:val="675"/>
    <w:link w:val="807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17" w:customStyle="1">
    <w:name w:val="Heading 5 Char"/>
    <w:basedOn w:val="675"/>
    <w:link w:val="80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18" w:customStyle="1">
    <w:name w:val="Heading 6 Char"/>
    <w:basedOn w:val="675"/>
    <w:link w:val="80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9" w:customStyle="1">
    <w:name w:val="Heading 7 Char"/>
    <w:basedOn w:val="675"/>
    <w:link w:val="81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0" w:customStyle="1">
    <w:name w:val="Heading 8 Char"/>
    <w:basedOn w:val="675"/>
    <w:link w:val="8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1" w:customStyle="1">
    <w:name w:val="Heading 9 Char"/>
    <w:basedOn w:val="675"/>
    <w:link w:val="81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2">
    <w:name w:val="Title"/>
    <w:basedOn w:val="674"/>
    <w:next w:val="674"/>
    <w:link w:val="82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3" w:customStyle="1">
    <w:name w:val="Название Знак"/>
    <w:basedOn w:val="675"/>
    <w:link w:val="82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4">
    <w:name w:val="Subtitle"/>
    <w:basedOn w:val="674"/>
    <w:next w:val="674"/>
    <w:link w:val="82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5" w:customStyle="1">
    <w:name w:val="Подзаголовок Знак"/>
    <w:basedOn w:val="675"/>
    <w:link w:val="82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6">
    <w:name w:val="Quote"/>
    <w:basedOn w:val="674"/>
    <w:next w:val="674"/>
    <w:link w:val="82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7" w:customStyle="1">
    <w:name w:val="Цитата 2 Знак"/>
    <w:basedOn w:val="675"/>
    <w:link w:val="82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8">
    <w:name w:val="List Paragraph"/>
    <w:basedOn w:val="674"/>
    <w:uiPriority w:val="34"/>
    <w:qFormat/>
    <w:pPr>
      <w:pBdr/>
      <w:spacing/>
      <w:ind w:left="720"/>
      <w:contextualSpacing w:val="true"/>
    </w:pPr>
  </w:style>
  <w:style w:type="character" w:styleId="829">
    <w:name w:val="Intense Emphasis"/>
    <w:basedOn w:val="675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830">
    <w:name w:val="Intense Quote"/>
    <w:basedOn w:val="674"/>
    <w:next w:val="674"/>
    <w:link w:val="831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831" w:customStyle="1">
    <w:name w:val="Выделенная цитата Знак"/>
    <w:basedOn w:val="675"/>
    <w:link w:val="830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32">
    <w:name w:val="Intense Reference"/>
    <w:basedOn w:val="675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833">
    <w:name w:val="No Spacing"/>
    <w:basedOn w:val="674"/>
    <w:uiPriority w:val="1"/>
    <w:qFormat/>
    <w:pPr>
      <w:pBdr/>
      <w:spacing/>
      <w:ind/>
    </w:pPr>
  </w:style>
  <w:style w:type="character" w:styleId="834">
    <w:name w:val="Subtle Emphasis"/>
    <w:basedOn w:val="67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5">
    <w:name w:val="Emphasis"/>
    <w:basedOn w:val="675"/>
    <w:uiPriority w:val="20"/>
    <w:qFormat/>
    <w:pPr>
      <w:pBdr/>
      <w:spacing/>
      <w:ind/>
    </w:pPr>
    <w:rPr>
      <w:i/>
      <w:iCs/>
    </w:rPr>
  </w:style>
  <w:style w:type="character" w:styleId="836">
    <w:name w:val="Strong"/>
    <w:basedOn w:val="675"/>
    <w:uiPriority w:val="22"/>
    <w:qFormat/>
    <w:pPr>
      <w:pBdr/>
      <w:spacing/>
      <w:ind/>
    </w:pPr>
    <w:rPr>
      <w:b/>
      <w:bCs/>
    </w:rPr>
  </w:style>
  <w:style w:type="character" w:styleId="837">
    <w:name w:val="Subtle Reference"/>
    <w:basedOn w:val="67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8">
    <w:name w:val="Book Title"/>
    <w:basedOn w:val="67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9" w:customStyle="1">
    <w:name w:val="Header"/>
    <w:basedOn w:val="674"/>
    <w:link w:val="840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40" w:customStyle="1">
    <w:name w:val="Header Char"/>
    <w:basedOn w:val="675"/>
    <w:link w:val="839"/>
    <w:uiPriority w:val="99"/>
    <w:pPr>
      <w:pBdr/>
      <w:spacing/>
      <w:ind/>
    </w:pPr>
  </w:style>
  <w:style w:type="paragraph" w:styleId="841" w:customStyle="1">
    <w:name w:val="Footer"/>
    <w:basedOn w:val="674"/>
    <w:link w:val="842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42" w:customStyle="1">
    <w:name w:val="Footer Char"/>
    <w:basedOn w:val="675"/>
    <w:link w:val="841"/>
    <w:uiPriority w:val="99"/>
    <w:pPr>
      <w:pBdr/>
      <w:spacing/>
      <w:ind/>
    </w:pPr>
  </w:style>
  <w:style w:type="paragraph" w:styleId="843" w:customStyle="1">
    <w:name w:val="Caption"/>
    <w:basedOn w:val="674"/>
    <w:next w:val="674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844">
    <w:name w:val="footnote text"/>
    <w:basedOn w:val="674"/>
    <w:link w:val="845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45" w:customStyle="1">
    <w:name w:val="Текст сноски Знак"/>
    <w:basedOn w:val="675"/>
    <w:link w:val="844"/>
    <w:uiPriority w:val="99"/>
    <w:semiHidden/>
    <w:pPr>
      <w:pBdr/>
      <w:spacing/>
      <w:ind/>
    </w:pPr>
    <w:rPr>
      <w:sz w:val="20"/>
      <w:szCs w:val="20"/>
    </w:rPr>
  </w:style>
  <w:style w:type="character" w:styleId="846">
    <w:name w:val="footnote reference"/>
    <w:basedOn w:val="675"/>
    <w:uiPriority w:val="99"/>
    <w:semiHidden/>
    <w:unhideWhenUsed/>
    <w:pPr>
      <w:pBdr/>
      <w:spacing/>
      <w:ind/>
    </w:pPr>
    <w:rPr>
      <w:vertAlign w:val="superscript"/>
    </w:rPr>
  </w:style>
  <w:style w:type="paragraph" w:styleId="847">
    <w:name w:val="endnote text"/>
    <w:basedOn w:val="674"/>
    <w:link w:val="848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48" w:customStyle="1">
    <w:name w:val="Текст концевой сноски Знак"/>
    <w:basedOn w:val="675"/>
    <w:link w:val="847"/>
    <w:uiPriority w:val="99"/>
    <w:semiHidden/>
    <w:pPr>
      <w:pBdr/>
      <w:spacing/>
      <w:ind/>
    </w:pPr>
    <w:rPr>
      <w:sz w:val="20"/>
      <w:szCs w:val="20"/>
    </w:rPr>
  </w:style>
  <w:style w:type="character" w:styleId="849">
    <w:name w:val="endnote reference"/>
    <w:basedOn w:val="675"/>
    <w:uiPriority w:val="99"/>
    <w:semiHidden/>
    <w:unhideWhenUsed/>
    <w:pPr>
      <w:pBdr/>
      <w:spacing/>
      <w:ind/>
    </w:pPr>
    <w:rPr>
      <w:vertAlign w:val="superscript"/>
    </w:rPr>
  </w:style>
  <w:style w:type="character" w:styleId="850">
    <w:name w:val="Hyperlink"/>
    <w:basedOn w:val="675"/>
    <w:pPr>
      <w:pBdr/>
      <w:spacing/>
      <w:ind/>
    </w:pPr>
    <w:rPr>
      <w:color w:val="0000ff"/>
      <w:u w:val="single"/>
    </w:rPr>
  </w:style>
  <w:style w:type="character" w:styleId="851">
    <w:name w:val="FollowedHyperlink"/>
    <w:basedOn w:val="675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852">
    <w:name w:val="TOC Heading"/>
    <w:uiPriority w:val="39"/>
    <w:unhideWhenUsed/>
    <w:pPr>
      <w:pBdr/>
      <w:spacing/>
      <w:ind/>
    </w:pPr>
  </w:style>
  <w:style w:type="paragraph" w:styleId="853">
    <w:name w:val="table of figures"/>
    <w:basedOn w:val="674"/>
    <w:next w:val="674"/>
    <w:uiPriority w:val="99"/>
    <w:unhideWhenUsed/>
    <w:pPr>
      <w:pBdr/>
      <w:spacing/>
      <w:ind/>
    </w:pPr>
  </w:style>
  <w:style w:type="paragraph" w:styleId="854" w:customStyle="1">
    <w:name w:val="Основной текст с отступом 31"/>
    <w:basedOn w:val="674"/>
    <w:pPr>
      <w:pBdr/>
      <w:spacing/>
      <w:ind w:firstLine="720"/>
      <w:jc w:val="both"/>
    </w:pPr>
    <w:rPr>
      <w:rFonts w:eastAsia="Calibri"/>
      <w:sz w:val="28"/>
      <w:lang w:eastAsia="ar-SA"/>
    </w:rPr>
  </w:style>
  <w:style w:type="paragraph" w:styleId="855" w:customStyle="1">
    <w:name w:val="ConsPlusNormal"/>
    <w:pPr>
      <w:pBdr/>
      <w:spacing/>
      <w:ind/>
    </w:pPr>
    <w:rPr>
      <w:rFonts w:ascii="Arial" w:hAnsi="Arial" w:cs="Arial"/>
      <w:lang w:eastAsia="ru-RU"/>
    </w:rPr>
  </w:style>
  <w:style w:type="character" w:styleId="856" w:customStyle="1">
    <w:name w:val="Font Style18"/>
    <w:pPr>
      <w:pBdr/>
      <w:spacing/>
      <w:ind/>
    </w:pPr>
    <w:rPr>
      <w:rFonts w:ascii="Times New Roman" w:hAnsi="Times New Roman" w:cs="Times New Roman"/>
      <w:sz w:val="26"/>
    </w:rPr>
  </w:style>
  <w:style w:type="paragraph" w:styleId="857">
    <w:name w:val="Body Text Indent"/>
    <w:basedOn w:val="674"/>
    <w:pPr>
      <w:pBdr/>
      <w:spacing/>
      <w:ind w:firstLine="720"/>
      <w:jc w:val="both"/>
    </w:pPr>
    <w:rPr>
      <w:rFonts w:ascii="Arial" w:hAnsi="Arial"/>
      <w:szCs w:val="20"/>
    </w:rPr>
  </w:style>
  <w:style w:type="character" w:styleId="858" w:customStyle="1">
    <w:name w:val="extended-text__full"/>
    <w:basedOn w:val="675"/>
    <w:pPr>
      <w:pBdr/>
      <w:spacing/>
      <w:ind/>
    </w:pPr>
  </w:style>
  <w:style w:type="paragraph" w:styleId="859">
    <w:name w:val="Header"/>
    <w:basedOn w:val="674"/>
    <w:link w:val="860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60" w:customStyle="1">
    <w:name w:val="Верхний колонтитул Знак"/>
    <w:basedOn w:val="675"/>
    <w:link w:val="859"/>
    <w:uiPriority w:val="99"/>
    <w:semiHidden/>
    <w:pPr>
      <w:pBdr/>
      <w:spacing/>
      <w:ind/>
    </w:pPr>
    <w:rPr>
      <w:sz w:val="24"/>
      <w:szCs w:val="24"/>
      <w:lang w:eastAsia="ru-RU"/>
    </w:rPr>
  </w:style>
  <w:style w:type="paragraph" w:styleId="861">
    <w:name w:val="Footer"/>
    <w:basedOn w:val="674"/>
    <w:link w:val="862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62" w:customStyle="1">
    <w:name w:val="Нижний колонтитул Знак"/>
    <w:basedOn w:val="675"/>
    <w:link w:val="861"/>
    <w:uiPriority w:val="99"/>
    <w:semiHidden/>
    <w:pPr>
      <w:pBdr/>
      <w:spacing/>
      <w:ind/>
    </w:pPr>
    <w:rPr>
      <w:sz w:val="24"/>
      <w:szCs w:val="24"/>
      <w:lang w:eastAsia="ru-RU"/>
    </w:rPr>
  </w:style>
  <w:style w:type="paragraph" w:styleId="863">
    <w:name w:val="Balloon Text"/>
    <w:basedOn w:val="674"/>
    <w:link w:val="864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864" w:customStyle="1">
    <w:name w:val="Текст выноски Знак"/>
    <w:basedOn w:val="675"/>
    <w:link w:val="863"/>
    <w:uiPriority w:val="99"/>
    <w:semiHidden/>
    <w:pPr>
      <w:pBdr/>
      <w:spacing/>
      <w:ind/>
    </w:pPr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ООСидорова</dc:creator>
  <cp:revision>52</cp:revision>
  <dcterms:created xsi:type="dcterms:W3CDTF">2022-01-13T02:54:00Z</dcterms:created>
  <dcterms:modified xsi:type="dcterms:W3CDTF">2025-01-31T04:37:46Z</dcterms:modified>
  <cp:version>786432</cp:version>
</cp:coreProperties>
</file>