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6"/>
          <w:szCs w:val="26"/>
        </w:rPr>
      </w:pPr>
      <w:r/>
      <w:bookmarkStart w:id="0" w:name="_GoBack"/>
      <w:r>
        <w:rPr>
          <w:rFonts w:ascii="Times New Roman" w:hAnsi="Times New Roman" w:cs="Times New Roman"/>
          <w:sz w:val="26"/>
          <w:szCs w:val="26"/>
        </w:rPr>
        <w:t xml:space="preserve">174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Об исполнении поручения Президента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РФ от 09</w:t>
      </w:r>
      <w:r>
        <w:rPr>
          <w:rFonts w:ascii="Times New Roman" w:hAnsi="Times New Roman" w:cs="Times New Roman"/>
          <w:bCs/>
          <w:sz w:val="26"/>
          <w:szCs w:val="26"/>
        </w:rPr>
        <w:t xml:space="preserve">.0</w:t>
      </w:r>
      <w:r>
        <w:rPr>
          <w:rFonts w:ascii="Times New Roman" w:hAnsi="Times New Roman" w:cs="Times New Roman"/>
          <w:bCs/>
          <w:sz w:val="26"/>
          <w:szCs w:val="26"/>
        </w:rPr>
        <w:t xml:space="preserve">7</w:t>
      </w:r>
      <w:r>
        <w:rPr>
          <w:rFonts w:ascii="Times New Roman" w:hAnsi="Times New Roman" w:cs="Times New Roman"/>
          <w:bCs/>
          <w:sz w:val="26"/>
          <w:szCs w:val="26"/>
        </w:rPr>
        <w:t xml:space="preserve">.201</w:t>
      </w:r>
      <w:r>
        <w:rPr>
          <w:rFonts w:ascii="Times New Roman" w:hAnsi="Times New Roman" w:cs="Times New Roman"/>
          <w:bCs/>
          <w:sz w:val="26"/>
          <w:szCs w:val="26"/>
        </w:rPr>
        <w:t xml:space="preserve">7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№ Пр-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1330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 xml:space="preserve">о </w:t>
      </w:r>
      <w:bookmarkEnd w:id="0"/>
      <w:r>
        <w:rPr>
          <w:rFonts w:ascii="Times New Roman" w:hAnsi="Times New Roman" w:cs="Times New Roman"/>
          <w:bCs/>
          <w:sz w:val="26"/>
          <w:szCs w:val="26"/>
        </w:rPr>
        <w:t xml:space="preserve">повышении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уровня </w:t>
      </w:r>
      <w:r>
        <w:rPr>
          <w:rFonts w:ascii="Times New Roman" w:hAnsi="Times New Roman" w:cs="Times New Roman"/>
          <w:bCs/>
          <w:sz w:val="26"/>
          <w:szCs w:val="26"/>
        </w:rPr>
        <w:t xml:space="preserve">доступности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услугами по погребению умерших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(РК № 11</w:t>
      </w:r>
      <w:r>
        <w:rPr>
          <w:rFonts w:ascii="Times New Roman" w:hAnsi="Times New Roman" w:cs="Times New Roman"/>
          <w:sz w:val="26"/>
          <w:szCs w:val="26"/>
        </w:rPr>
        <w:t xml:space="preserve">933</w:t>
      </w:r>
      <w:r>
        <w:rPr>
          <w:rFonts w:ascii="Times New Roman" w:hAnsi="Times New Roman" w:cs="Times New Roman"/>
          <w:sz w:val="26"/>
          <w:szCs w:val="26"/>
        </w:rPr>
        <w:t xml:space="preserve">-</w:t>
      </w:r>
      <w:r>
        <w:rPr>
          <w:rFonts w:ascii="Times New Roman" w:hAnsi="Times New Roman" w:cs="Times New Roman"/>
          <w:sz w:val="26"/>
          <w:szCs w:val="26"/>
        </w:rPr>
        <w:t xml:space="preserve">1 от 17.07</w:t>
      </w:r>
      <w:r>
        <w:rPr>
          <w:rFonts w:ascii="Times New Roman" w:hAnsi="Times New Roman" w:cs="Times New Roman"/>
          <w:sz w:val="26"/>
          <w:szCs w:val="26"/>
        </w:rPr>
        <w:t xml:space="preserve">.201</w:t>
      </w:r>
      <w:r>
        <w:rPr>
          <w:rFonts w:ascii="Times New Roman" w:hAnsi="Times New Roman" w:cs="Times New Roman"/>
          <w:sz w:val="26"/>
          <w:szCs w:val="26"/>
        </w:rPr>
        <w:t xml:space="preserve">7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 xml:space="preserve">Что поручено?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3"/>
        <w:pBdr/>
        <w:spacing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целях повышения уровня доступности, качества и удовлетворенности граждан услугами по погребению умерших: 1. Правительству Российской Федерации совместно с высшими должностными лицами (руководителями высших исполнительных органов государствен</w:t>
      </w:r>
      <w:r>
        <w:rPr>
          <w:sz w:val="26"/>
          <w:szCs w:val="26"/>
        </w:rPr>
        <w:t xml:space="preserve">ной власти) субъектов Российской Федерации разработать и реализовать комплекс мер, предусматривающих, в том числе: а) организацию оказания гарантированного перечня услуг по погребению умерших на безвозмездной основе по принципу «одного окна» с использовани</w:t>
      </w:r>
      <w:r>
        <w:rPr>
          <w:sz w:val="26"/>
          <w:szCs w:val="26"/>
        </w:rPr>
        <w:t xml:space="preserve">ем страхового номера индивидуального лицевого счета в системе обязательного пенсионного страхования; б) проведение инвентаризации действующих и неблагоустроенных (брошенных) мест погребения (кладбищ) для исключения искусственного дефицита мест погребения и</w:t>
      </w:r>
      <w:r>
        <w:rPr>
          <w:sz w:val="26"/>
          <w:szCs w:val="26"/>
        </w:rPr>
        <w:t xml:space="preserve"> в случае необходимости резервирование земель для размещения мест погребения в рамках территориального планирования; в) государственную регистрацию прав собственности на существующие места погребения, включая неблагоустроенные (брошенные) места погребения.</w:t>
      </w:r>
      <w:r>
        <w:rPr>
          <w:bCs/>
          <w:sz w:val="26"/>
          <w:szCs w:val="26"/>
        </w:rPr>
      </w:r>
    </w:p>
    <w:p>
      <w:pPr>
        <w:pStyle w:val="633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Как исполнено?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25.0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9.20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24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вопросу оказания гарантированного перечня услуг по погребению на безвозмездной основе с использованием страхового номера индивидуального лицевого счета в системе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обязательного пенсионного страхования, по принципу «одного окна»,  информируем, что в муниципальном образовании городской округ город Новоалтайск в настоящее время данный вид услуг не предоставляется.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части проведения инвентаризации дейс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твующих мест погребения (кладбищ) сообщаем, что в настоящее время формируется конкурсная документация для определения подрядной организации на право заключения муниципального контракта на оказание услуг по инвентаризации кладбища г.Новоалтайска и паспортизации захоронений, с учетом завершения работ в 2025 году.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вопросу государственной регистрации прав собственности на существующие места погребения информируем, что на территории муниципального образования город Новоалтайск расположе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ны четыре кладбища, а в ведении муниципального образования пять кладбищ. Четыре кладбища города поставлены на кадастровый учет (22:69:030706:2; 22:69:000000:463; 22:69:010224:255; 22:69:000000:462) и в отношении одного зарегистрировано право собственности.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0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0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character" w:styleId="630" w:default="1">
    <w:name w:val="Default Paragraph Font"/>
    <w:uiPriority w:val="1"/>
    <w:semiHidden/>
    <w:unhideWhenUsed/>
    <w:pPr>
      <w:pBdr/>
      <w:spacing/>
      <w:ind/>
    </w:pPr>
  </w:style>
  <w:style w:type="table" w:styleId="6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2" w:default="1">
    <w:name w:val="No List"/>
    <w:uiPriority w:val="99"/>
    <w:semiHidden/>
    <w:unhideWhenUsed/>
    <w:pPr>
      <w:pBdr/>
      <w:spacing/>
      <w:ind/>
    </w:pPr>
  </w:style>
  <w:style w:type="paragraph" w:styleId="633" w:customStyle="1">
    <w:name w:val="Default"/>
    <w:pPr>
      <w:pBdr/>
      <w:spacing w:after="0" w:line="240" w:lineRule="auto"/>
      <w:ind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Саблина</dc:creator>
  <cp:revision>3</cp:revision>
  <dcterms:created xsi:type="dcterms:W3CDTF">2023-02-22T05:13:00Z</dcterms:created>
  <dcterms:modified xsi:type="dcterms:W3CDTF">2024-09-27T03:35:29Z</dcterms:modified>
</cp:coreProperties>
</file>