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29" w:rsidRDefault="00B63929">
      <w:pPr>
        <w:ind w:firstLine="5400"/>
        <w:jc w:val="right"/>
      </w:pPr>
      <w:r>
        <w:t xml:space="preserve">Приложение </w:t>
      </w:r>
    </w:p>
    <w:p w:rsidR="00B63929" w:rsidRDefault="00B63929">
      <w:pPr>
        <w:ind w:firstLine="5400"/>
        <w:jc w:val="right"/>
      </w:pPr>
      <w:r>
        <w:t>к постановлению Администрации</w:t>
      </w:r>
    </w:p>
    <w:p w:rsidR="00B63929" w:rsidRDefault="00B63929">
      <w:pPr>
        <w:ind w:firstLine="5400"/>
        <w:jc w:val="right"/>
      </w:pPr>
      <w:r>
        <w:t>города от 18.07.2025 №1549</w:t>
      </w:r>
    </w:p>
    <w:p w:rsidR="00B63929" w:rsidRDefault="00B63929">
      <w:pPr>
        <w:ind w:firstLine="5400"/>
        <w:jc w:val="right"/>
      </w:pPr>
      <w:r>
        <w:rPr>
          <w:i/>
          <w:iCs/>
          <w:sz w:val="20"/>
          <w:szCs w:val="20"/>
        </w:rPr>
        <w:t xml:space="preserve"> </w:t>
      </w:r>
    </w:p>
    <w:p w:rsidR="00B63929" w:rsidRDefault="00B63929">
      <w:pPr>
        <w:jc w:val="right"/>
      </w:pPr>
    </w:p>
    <w:p w:rsidR="00B63929" w:rsidRDefault="00B63929">
      <w:pPr>
        <w:jc w:val="right"/>
      </w:pPr>
    </w:p>
    <w:p w:rsidR="00B63929" w:rsidRDefault="00B63929">
      <w:pPr>
        <w:pStyle w:val="Heading4"/>
      </w:pPr>
      <w:r>
        <w:t>ИЗВЕЩЕНИЕ О ПРОВЕДЕНИИ АУКЦИОНА</w:t>
      </w:r>
    </w:p>
    <w:p w:rsidR="00B63929" w:rsidRDefault="00B63929">
      <w:pPr>
        <w:pStyle w:val="Heading4"/>
      </w:pPr>
      <w:r>
        <w:t xml:space="preserve"> ПО ПРОДАЖЕ ОБЪЕКТА НЕЗАВЕРШЕННОГО СТРОИТЕЛЬСТВА</w:t>
      </w:r>
    </w:p>
    <w:p w:rsidR="00B63929" w:rsidRDefault="00B63929">
      <w:r>
        <w:tab/>
      </w:r>
    </w:p>
    <w:p w:rsidR="00B63929" w:rsidRDefault="00B63929">
      <w:pPr>
        <w:jc w:val="both"/>
      </w:pPr>
      <w:r>
        <w:tab/>
        <w:t xml:space="preserve">1. </w:t>
      </w:r>
      <w:r>
        <w:rPr>
          <w:b/>
        </w:rPr>
        <w:t>Организатор торгов</w:t>
      </w:r>
      <w:r>
        <w:t>:  Комитет по управлению имуществом Администрации города Новоалтайска Алтайского края.</w:t>
      </w:r>
    </w:p>
    <w:p w:rsidR="00B63929" w:rsidRDefault="00B63929">
      <w:pPr>
        <w:ind w:firstLine="708"/>
        <w:jc w:val="both"/>
        <w:rPr>
          <w:b/>
        </w:rPr>
      </w:pPr>
      <w:r>
        <w:rPr>
          <w:b/>
        </w:rPr>
        <w:t>2. Сведения о суде, принявшем решение об изъятии объекта незавершенного строительством у собственника путем продажи с публичных торгов, с указанием резолютивной части решения суда:</w:t>
      </w:r>
    </w:p>
    <w:p w:rsidR="00B63929" w:rsidRDefault="00B63929">
      <w:pPr>
        <w:ind w:firstLine="708"/>
        <w:jc w:val="both"/>
      </w:pPr>
      <w:r>
        <w:t>Решение Арбитражного суда Алтайского края от 09.04.2025 по делу № А03-20605/2024.</w:t>
      </w:r>
    </w:p>
    <w:p w:rsidR="00B63929" w:rsidRDefault="00B63929">
      <w:pPr>
        <w:ind w:firstLine="708"/>
        <w:jc w:val="both"/>
      </w:pPr>
      <w:r>
        <w:rPr>
          <w:b/>
        </w:rPr>
        <w:t>Резолютивная часть Решения суда</w:t>
      </w:r>
      <w:r>
        <w:t xml:space="preserve">: </w:t>
      </w:r>
    </w:p>
    <w:p w:rsidR="00B63929" w:rsidRDefault="00B63929">
      <w:pPr>
        <w:ind w:right="-82" w:firstLine="720"/>
        <w:jc w:val="both"/>
        <w:outlineLvl w:val="3"/>
      </w:pPr>
      <w:r>
        <w:t xml:space="preserve">изъять у общества с ограниченной ответственностью «Самадева» объект незавершенного строительства по адресу: г. Новоалтайск, ул. Дорожная, д. 74/10, площадью 564,2 кв.м, степенью готовности 74% с кадастровым номером 22:69:030403:103, расположенный на земельном  участке с кадастровым номером 22:69:030403:44, путем продажи с публичных торгов. </w:t>
      </w:r>
    </w:p>
    <w:p w:rsidR="00B63929" w:rsidRDefault="00B63929">
      <w:pPr>
        <w:ind w:firstLine="709"/>
        <w:jc w:val="both"/>
        <w:rPr>
          <w:b/>
        </w:rPr>
      </w:pPr>
      <w:r>
        <w:rPr>
          <w:b/>
        </w:rPr>
        <w:t>3. Сведения о месте, дате, времени и порядке проведения аукциона</w:t>
      </w:r>
    </w:p>
    <w:p w:rsidR="00B63929" w:rsidRDefault="00B63929">
      <w:pPr>
        <w:ind w:firstLine="709"/>
        <w:jc w:val="both"/>
      </w:pPr>
      <w:r>
        <w:rPr>
          <w:u w:val="single"/>
        </w:rPr>
        <w:t>Место проведения аукциона</w:t>
      </w:r>
      <w:r>
        <w:t>: г. Новоалтайск, ул. Красногвардейская, 8, каб. 1.</w:t>
      </w:r>
    </w:p>
    <w:p w:rsidR="00B63929" w:rsidRDefault="00B63929">
      <w:pPr>
        <w:ind w:firstLine="708"/>
        <w:jc w:val="both"/>
      </w:pPr>
      <w:r>
        <w:rPr>
          <w:u w:val="single"/>
        </w:rPr>
        <w:t>Дата и время проведения аукциона</w:t>
      </w:r>
      <w:r w:rsidRPr="008E3B65">
        <w:rPr>
          <w:u w:val="single"/>
        </w:rPr>
        <w:t>:</w:t>
      </w:r>
      <w:r w:rsidRPr="008E3B65">
        <w:t xml:space="preserve">  </w:t>
      </w:r>
      <w:r w:rsidRPr="008E3B65">
        <w:rPr>
          <w:b/>
        </w:rPr>
        <w:t>03 сентября 2025 года с 10-00 (по местному времени)</w:t>
      </w:r>
      <w:r w:rsidRPr="008E3B65">
        <w:t>.</w:t>
      </w:r>
    </w:p>
    <w:p w:rsidR="00B63929" w:rsidRDefault="00B63929">
      <w:pPr>
        <w:tabs>
          <w:tab w:val="left" w:pos="720"/>
        </w:tabs>
        <w:jc w:val="both"/>
        <w:rPr>
          <w:u w:val="single"/>
        </w:rPr>
      </w:pPr>
      <w:r>
        <w:rPr>
          <w:b/>
        </w:rPr>
        <w:t xml:space="preserve">            </w:t>
      </w:r>
      <w:r>
        <w:rPr>
          <w:u w:val="single"/>
        </w:rPr>
        <w:t>Порядок проведения аукциона:</w:t>
      </w:r>
    </w:p>
    <w:p w:rsidR="00B63929" w:rsidRDefault="00B63929">
      <w:pPr>
        <w:ind w:firstLine="709"/>
        <w:jc w:val="both"/>
        <w:rPr>
          <w:lang w:eastAsia="en-US"/>
        </w:rPr>
      </w:pPr>
      <w:r>
        <w:rPr>
          <w:lang w:eastAsia="en-US"/>
        </w:rPr>
        <w:t>Торги проводятся в форме аукциона, открытого по составу участников. Аукцион проводится на основании решения суда об изъятии объекта незавершенного строительства у собственника путем продажи с публичных торгов, указанного в пункте 2 настоящего извещения.</w:t>
      </w:r>
    </w:p>
    <w:p w:rsidR="00B63929" w:rsidRDefault="00B63929">
      <w:pPr>
        <w:ind w:firstLine="709"/>
        <w:jc w:val="both"/>
        <w:rPr>
          <w:lang w:eastAsia="en-US"/>
        </w:rPr>
      </w:pPr>
      <w:r>
        <w:rPr>
          <w:lang w:eastAsia="en-US"/>
        </w:rPr>
        <w:t>Аукцион проводится путем повышения начальной (минимальной) цены предмета аукциона, указанной в настоящем извещении, на шаг аукциона, который устанавливается в пределах 1 процента начальной цены предмета аукциона.</w:t>
      </w:r>
    </w:p>
    <w:p w:rsidR="00B63929" w:rsidRDefault="00B63929">
      <w:pPr>
        <w:ind w:firstLine="708"/>
        <w:jc w:val="both"/>
        <w:rPr>
          <w:lang w:eastAsia="en-US"/>
        </w:rPr>
      </w:pPr>
      <w:r>
        <w:t>Победителем аукциона признается участник, предложивший в ходе проведения торгов наиболее высокую цену.</w:t>
      </w:r>
    </w:p>
    <w:p w:rsidR="00B63929" w:rsidRDefault="00B63929">
      <w:pPr>
        <w:tabs>
          <w:tab w:val="left" w:pos="720"/>
        </w:tabs>
        <w:jc w:val="both"/>
      </w:pPr>
      <w:r>
        <w:tab/>
      </w:r>
      <w:r>
        <w:rPr>
          <w:lang w:eastAsia="en-US"/>
        </w:rPr>
        <w:t xml:space="preserve">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 </w:t>
      </w:r>
      <w: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(www.torgi.gov.ru), на официальном сайте города Новоалтайска (https://novoaltaysk.gosuslugi.ru).</w:t>
      </w:r>
    </w:p>
    <w:p w:rsidR="00B63929" w:rsidRDefault="00B63929">
      <w:pPr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>4. Сведения об объекте незавершенного строительства (предмете аукциона), включая примерное определение его готовности, выраженное в процентах, кадастровый номер (при наличии), а также о земельном участке, на котором он расположен (местоположение, площадь, кадастровый номер земельного участка, разрешенное использование и указание на предельные параметры его застройки):</w:t>
      </w:r>
    </w:p>
    <w:p w:rsidR="00B63929" w:rsidRDefault="00B63929">
      <w:pPr>
        <w:ind w:firstLine="708"/>
        <w:jc w:val="both"/>
      </w:pPr>
      <w:r>
        <w:t>Предмет аукциона: объект незавершенного строительства с кадастровым номером: 22:69:030403:103, площадью 564,2 кв.м, степенью готовности 74%, расположенный по   адресу: Алтайский край, г. Новоалтайск, ул. Дорожная, д. 74/10.</w:t>
      </w:r>
    </w:p>
    <w:p w:rsidR="00B63929" w:rsidRDefault="00B63929">
      <w:pPr>
        <w:ind w:firstLine="709"/>
        <w:jc w:val="both"/>
      </w:pPr>
      <w:r>
        <w:t>Объект незавершенного строительства расположен на земельном участке с кадастровым номером 22:69:030403:44, площадь 15793 кв.м, местоположение: Российская Федерация, Алтайский край, г. Новоалтайск, ул. Дорожная, дом 74/10. Категория земель: земли населенных пунктов. Вид разрешенного использования: для эксплуатации незавершенного строительством объекта – здание РСУ.</w:t>
      </w:r>
    </w:p>
    <w:p w:rsidR="00B63929" w:rsidRDefault="00B63929">
      <w:pPr>
        <w:ind w:firstLine="708"/>
        <w:jc w:val="both"/>
      </w:pPr>
      <w:r>
        <w:t>На земельном участке действуют ограничения, предусмотренные статьей 56 Земельного кодекса Российской Федерации.</w:t>
      </w:r>
    </w:p>
    <w:p w:rsidR="00B63929" w:rsidRDefault="00B63929">
      <w:pPr>
        <w:ind w:firstLine="708"/>
        <w:jc w:val="both"/>
      </w:pPr>
      <w:r>
        <w:t>Земельный участок полностью расположен в границах зон с реестровыми номерами 22:69-6.540 от 24.01.2022, 22:69-6.541 от 24.01.2022, 22:69-6.572 от 19.04.2022.</w:t>
      </w:r>
    </w:p>
    <w:p w:rsidR="00B63929" w:rsidRPr="00F132E4" w:rsidRDefault="00B63929">
      <w:pPr>
        <w:ind w:firstLine="708"/>
        <w:jc w:val="both"/>
      </w:pPr>
      <w:r w:rsidRPr="00F132E4">
        <w:t>Основные виды и параметры разрешенного использования</w:t>
      </w:r>
      <w:r w:rsidRPr="00F132E4">
        <w:rPr>
          <w:b/>
        </w:rPr>
        <w:t xml:space="preserve"> </w:t>
      </w:r>
      <w:r w:rsidRPr="00F132E4">
        <w:t xml:space="preserve">земельного участка и объектов капитального строительства, установлены </w:t>
      </w:r>
      <w:r w:rsidRPr="00F132E4">
        <w:rPr>
          <w:bCs/>
          <w:szCs w:val="26"/>
        </w:rPr>
        <w:t xml:space="preserve">Правилами землепользования и застройки муниципального образования городского округа город Новоалтайск, утвержденными решением Новоалтайского городского Собрания депутатов Алтайского края </w:t>
      </w:r>
      <w:r w:rsidRPr="00F132E4">
        <w:rPr>
          <w:bCs/>
          <w:szCs w:val="26"/>
          <w:highlight w:val="white"/>
        </w:rPr>
        <w:t>от 27.08.2018 № 20 (с изменениями от 20.08.2019 № 20 от 17.08.2021 № 24, от 17.10.2023 №</w:t>
      </w:r>
      <w:r>
        <w:rPr>
          <w:bCs/>
          <w:szCs w:val="26"/>
          <w:highlight w:val="white"/>
        </w:rPr>
        <w:t xml:space="preserve"> 32,</w:t>
      </w:r>
      <w:r w:rsidRPr="00F132E4">
        <w:rPr>
          <w:bCs/>
          <w:szCs w:val="26"/>
          <w:highlight w:val="white"/>
        </w:rPr>
        <w:t xml:space="preserve"> от 18.03.2025 №5 ):</w:t>
      </w:r>
    </w:p>
    <w:p w:rsidR="00B63929" w:rsidRPr="00F132E4" w:rsidRDefault="00B63929" w:rsidP="00F132E4">
      <w:pPr>
        <w:pStyle w:val="Heading2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undefined"/>
      <w:r w:rsidRPr="00F132E4">
        <w:rPr>
          <w:rFonts w:ascii="Times New Roman" w:hAnsi="Times New Roman" w:cs="Times New Roman"/>
          <w:sz w:val="28"/>
          <w:szCs w:val="28"/>
        </w:rPr>
        <w:t xml:space="preserve">Производственная зона (П1) 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2"/>
        <w:gridCol w:w="6206"/>
        <w:gridCol w:w="1854"/>
      </w:tblGrid>
      <w:tr w:rsidR="00B63929" w:rsidRPr="00F132E4">
        <w:tc>
          <w:tcPr>
            <w:tcW w:w="2009" w:type="dxa"/>
            <w:shd w:val="clear" w:color="FFFFFF" w:fill="DBE5F1"/>
            <w:vAlign w:val="center"/>
          </w:tcPr>
          <w:p w:rsidR="00B63929" w:rsidRPr="00F132E4" w:rsidRDefault="00B63929">
            <w:pPr>
              <w:jc w:val="center"/>
              <w:rPr>
                <w:b/>
              </w:rPr>
            </w:pPr>
            <w:r w:rsidRPr="00F132E4">
              <w:rPr>
                <w:b/>
              </w:rPr>
              <w:t>Тип вида разрешенного использования (ВРИ)</w:t>
            </w:r>
          </w:p>
        </w:tc>
        <w:tc>
          <w:tcPr>
            <w:tcW w:w="6206" w:type="dxa"/>
            <w:shd w:val="clear" w:color="FFFFFF" w:fill="DBE5F1"/>
            <w:vAlign w:val="center"/>
          </w:tcPr>
          <w:p w:rsidR="00B63929" w:rsidRPr="00F132E4" w:rsidRDefault="00B63929">
            <w:pPr>
              <w:jc w:val="center"/>
              <w:rPr>
                <w:b/>
              </w:rPr>
            </w:pPr>
            <w:r w:rsidRPr="00F132E4">
              <w:rPr>
                <w:b/>
              </w:rPr>
              <w:t>Наименование вида разрешенного использования земельного участка*</w:t>
            </w:r>
          </w:p>
        </w:tc>
        <w:tc>
          <w:tcPr>
            <w:tcW w:w="1638" w:type="dxa"/>
            <w:shd w:val="clear" w:color="FFFFFF" w:fill="DBE5F1"/>
            <w:vAlign w:val="center"/>
          </w:tcPr>
          <w:p w:rsidR="00B63929" w:rsidRPr="00F132E4" w:rsidRDefault="00B63929">
            <w:pPr>
              <w:jc w:val="center"/>
              <w:rPr>
                <w:b/>
              </w:rPr>
            </w:pPr>
            <w:r w:rsidRPr="00F132E4">
              <w:rPr>
                <w:b/>
              </w:rPr>
              <w:t>Код вида разрешенного использования земельного участка*</w:t>
            </w:r>
          </w:p>
        </w:tc>
      </w:tr>
      <w:tr w:rsidR="00B63929" w:rsidRPr="00F132E4">
        <w:tc>
          <w:tcPr>
            <w:tcW w:w="2009" w:type="dxa"/>
            <w:vMerge w:val="restart"/>
          </w:tcPr>
          <w:p w:rsidR="00B63929" w:rsidRPr="00F132E4" w:rsidRDefault="00B63929">
            <w:pPr>
              <w:jc w:val="center"/>
              <w:rPr>
                <w:b/>
                <w:bCs/>
              </w:rPr>
            </w:pPr>
            <w:r w:rsidRPr="00F132E4">
              <w:rPr>
                <w:b/>
                <w:bCs/>
              </w:rPr>
              <w:t>Основные ВРИ</w:t>
            </w:r>
          </w:p>
        </w:tc>
        <w:tc>
          <w:tcPr>
            <w:tcW w:w="6206" w:type="dxa"/>
          </w:tcPr>
          <w:p w:rsidR="00B63929" w:rsidRPr="00F132E4" w:rsidRDefault="00B63929">
            <w:r w:rsidRPr="00F132E4">
              <w:t>Тяжелая промышленность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6.2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Автомобилестроительная промышленность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6.2.1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Легкая промышленность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6.3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Пищевая промышленность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6.4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Строительная промышленность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6.6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 xml:space="preserve">Целлюлозно-бумажная промышленность 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6.11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 xml:space="preserve">Железнодорожный транспорт 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7.1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Коммунальное обслуживание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3.1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rPr>
                <w:shd w:val="clear" w:color="auto" w:fill="FFFFFF"/>
              </w:rPr>
              <w:t>Служебные гаражи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4.9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 xml:space="preserve">Обеспечение научной деятельности 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3.9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Автомобильный транспорт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7.2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Обеспечение внутреннего правопорядка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8.3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pPr>
              <w:tabs>
                <w:tab w:val="left" w:pos="3060"/>
              </w:tabs>
            </w:pPr>
            <w:r w:rsidRPr="00F132E4">
              <w:t>Деловое управление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4.1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Земельные участки (территории) общего пользования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12.0</w:t>
            </w:r>
          </w:p>
        </w:tc>
      </w:tr>
      <w:tr w:rsidR="00B63929" w:rsidRPr="00F132E4">
        <w:tc>
          <w:tcPr>
            <w:tcW w:w="2009" w:type="dxa"/>
            <w:vMerge w:val="restart"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  <w:r w:rsidRPr="00F132E4">
              <w:rPr>
                <w:b/>
                <w:bCs/>
              </w:rPr>
              <w:t>Условно-разрешенные</w:t>
            </w:r>
          </w:p>
        </w:tc>
        <w:tc>
          <w:tcPr>
            <w:tcW w:w="6206" w:type="dxa"/>
          </w:tcPr>
          <w:p w:rsidR="00B63929" w:rsidRPr="00F132E4" w:rsidRDefault="00B63929">
            <w:r w:rsidRPr="00F132E4">
              <w:t>Банковская и страховая деятельность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4.5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Связь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6.8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Объекты дорожного сервиса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4.9.1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Бытовое обслуживание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3.3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Магазины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4.4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Гостиничное обслуживание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4.7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Амбулаторное ветеринарное обслуживание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3.10.1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Приюты для животных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3.10.2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rPr>
                <w:shd w:val="clear" w:color="auto" w:fill="FFFFFF"/>
              </w:rPr>
              <w:t>Ритуальная деятельность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12.1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pPr>
              <w:rPr>
                <w:shd w:val="clear" w:color="auto" w:fill="FFFFFF"/>
              </w:rPr>
            </w:pPr>
            <w:r w:rsidRPr="00F132E4">
              <w:rPr>
                <w:shd w:val="clear" w:color="auto" w:fill="FFFFFF"/>
              </w:rPr>
              <w:t>Овощеводство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1.3</w:t>
            </w:r>
          </w:p>
        </w:tc>
      </w:tr>
      <w:tr w:rsidR="00B63929" w:rsidRPr="00F132E4">
        <w:tc>
          <w:tcPr>
            <w:tcW w:w="2009" w:type="dxa"/>
            <w:vMerge/>
          </w:tcPr>
          <w:p w:rsidR="00B63929" w:rsidRPr="00F132E4" w:rsidRDefault="00B63929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06" w:type="dxa"/>
          </w:tcPr>
          <w:p w:rsidR="00B63929" w:rsidRPr="00F132E4" w:rsidRDefault="00B63929">
            <w:pPr>
              <w:rPr>
                <w:shd w:val="clear" w:color="auto" w:fill="FFFFFF"/>
              </w:rPr>
            </w:pPr>
            <w:r w:rsidRPr="00F132E4">
              <w:t>Склад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6.9</w:t>
            </w:r>
          </w:p>
        </w:tc>
      </w:tr>
      <w:tr w:rsidR="00B63929" w:rsidRPr="00F132E4">
        <w:tc>
          <w:tcPr>
            <w:tcW w:w="2009" w:type="dxa"/>
            <w:vMerge w:val="restart"/>
          </w:tcPr>
          <w:p w:rsidR="00B63929" w:rsidRPr="00F132E4" w:rsidRDefault="00B63929">
            <w:pPr>
              <w:jc w:val="center"/>
              <w:rPr>
                <w:b/>
                <w:bCs/>
              </w:rPr>
            </w:pPr>
            <w:r w:rsidRPr="00F132E4">
              <w:rPr>
                <w:b/>
                <w:bCs/>
              </w:rPr>
              <w:t>Вспомогательные ВРИ</w:t>
            </w:r>
          </w:p>
        </w:tc>
        <w:tc>
          <w:tcPr>
            <w:tcW w:w="6206" w:type="dxa"/>
          </w:tcPr>
          <w:p w:rsidR="00B63929" w:rsidRPr="00F132E4" w:rsidRDefault="00B63929">
            <w:r w:rsidRPr="00F132E4">
              <w:t>Коммунальное обслуживание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3.1</w:t>
            </w:r>
          </w:p>
        </w:tc>
      </w:tr>
      <w:tr w:rsidR="00B63929" w:rsidRPr="00F132E4">
        <w:tc>
          <w:tcPr>
            <w:tcW w:w="2009" w:type="dxa"/>
            <w:vMerge/>
            <w:vAlign w:val="center"/>
          </w:tcPr>
          <w:p w:rsidR="00B63929" w:rsidRPr="00F132E4" w:rsidRDefault="00B63929">
            <w:pPr>
              <w:rPr>
                <w:b/>
                <w:bCs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Спорт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5.1</w:t>
            </w:r>
          </w:p>
        </w:tc>
      </w:tr>
      <w:tr w:rsidR="00B63929" w:rsidRPr="00F132E4">
        <w:tc>
          <w:tcPr>
            <w:tcW w:w="2009" w:type="dxa"/>
            <w:vMerge/>
            <w:vAlign w:val="center"/>
          </w:tcPr>
          <w:p w:rsidR="00B63929" w:rsidRPr="00F132E4" w:rsidRDefault="00B63929">
            <w:pPr>
              <w:rPr>
                <w:b/>
                <w:bCs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Общественное питание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4.6</w:t>
            </w:r>
          </w:p>
        </w:tc>
      </w:tr>
      <w:tr w:rsidR="00B63929" w:rsidRPr="00F132E4">
        <w:trPr>
          <w:trHeight w:val="50"/>
        </w:trPr>
        <w:tc>
          <w:tcPr>
            <w:tcW w:w="2009" w:type="dxa"/>
            <w:vMerge/>
            <w:vAlign w:val="center"/>
          </w:tcPr>
          <w:p w:rsidR="00B63929" w:rsidRPr="00F132E4" w:rsidRDefault="00B63929">
            <w:pPr>
              <w:rPr>
                <w:b/>
                <w:bCs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 xml:space="preserve">Обеспечение внутреннего правопорядка 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8.3</w:t>
            </w:r>
          </w:p>
        </w:tc>
      </w:tr>
      <w:tr w:rsidR="00B63929" w:rsidRPr="00F132E4">
        <w:tc>
          <w:tcPr>
            <w:tcW w:w="2009" w:type="dxa"/>
            <w:vMerge/>
            <w:vAlign w:val="center"/>
          </w:tcPr>
          <w:p w:rsidR="00B63929" w:rsidRPr="00F132E4" w:rsidRDefault="00B63929">
            <w:pPr>
              <w:rPr>
                <w:b/>
                <w:bCs/>
              </w:rPr>
            </w:pPr>
          </w:p>
        </w:tc>
        <w:tc>
          <w:tcPr>
            <w:tcW w:w="6206" w:type="dxa"/>
          </w:tcPr>
          <w:p w:rsidR="00B63929" w:rsidRPr="00F132E4" w:rsidRDefault="00B63929">
            <w:r w:rsidRPr="00F132E4">
              <w:t>Складские площадки</w:t>
            </w:r>
          </w:p>
        </w:tc>
        <w:tc>
          <w:tcPr>
            <w:tcW w:w="1638" w:type="dxa"/>
            <w:vAlign w:val="center"/>
          </w:tcPr>
          <w:p w:rsidR="00B63929" w:rsidRPr="00F132E4" w:rsidRDefault="00B63929">
            <w:pPr>
              <w:ind w:firstLine="2"/>
              <w:jc w:val="center"/>
            </w:pPr>
            <w:r w:rsidRPr="00F132E4">
              <w:t>6.9.1</w:t>
            </w:r>
          </w:p>
        </w:tc>
      </w:tr>
    </w:tbl>
    <w:p w:rsidR="00B63929" w:rsidRPr="00F132E4" w:rsidRDefault="00B63929">
      <w:pPr>
        <w:pStyle w:val="ConsPlusNormal"/>
        <w:rPr>
          <w:rFonts w:ascii="Times New Roman" w:hAnsi="Times New Roman" w:cs="Times New Roman"/>
        </w:rPr>
      </w:pPr>
      <w:r w:rsidRPr="00F132E4">
        <w:rPr>
          <w:rFonts w:ascii="Times New Roman" w:hAnsi="Times New Roman" w:cs="Times New Roman"/>
        </w:rPr>
        <w:t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участков».</w:t>
      </w:r>
    </w:p>
    <w:p w:rsidR="00B63929" w:rsidRPr="00F132E4" w:rsidRDefault="00B63929">
      <w:pPr>
        <w:pStyle w:val="ConsPlusNormal"/>
        <w:ind w:firstLine="567"/>
        <w:rPr>
          <w:rFonts w:ascii="Times New Roman" w:hAnsi="Times New Roman" w:cs="Times New Roman"/>
        </w:rPr>
      </w:pPr>
    </w:p>
    <w:p w:rsidR="00B63929" w:rsidRPr="00F132E4" w:rsidRDefault="00B63929">
      <w:pPr>
        <w:rPr>
          <w:b/>
        </w:rPr>
      </w:pPr>
      <w:r w:rsidRPr="00F132E4">
        <w:rPr>
          <w:b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2843"/>
        <w:gridCol w:w="696"/>
        <w:gridCol w:w="4197"/>
        <w:gridCol w:w="2545"/>
      </w:tblGrid>
      <w:tr w:rsidR="00B63929" w:rsidRPr="00F132E4">
        <w:trPr>
          <w:trHeight w:val="552"/>
          <w:tblHeader/>
          <w:jc w:val="center"/>
        </w:trPr>
        <w:tc>
          <w:tcPr>
            <w:tcW w:w="996" w:type="pct"/>
            <w:shd w:val="clear" w:color="FFFFFF" w:fill="DBE5F1"/>
            <w:vAlign w:val="center"/>
          </w:tcPr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  <w:r w:rsidRPr="00F132E4">
              <w:rPr>
                <w:b/>
                <w:sz w:val="16"/>
                <w:szCs w:val="16"/>
              </w:rPr>
              <w:t>ВИДЫ РАЗРЕШЕННОГО ИСПОЛЬЗОВАНИЯ (ВРИ)</w:t>
            </w:r>
          </w:p>
        </w:tc>
        <w:tc>
          <w:tcPr>
            <w:tcW w:w="354" w:type="pct"/>
            <w:shd w:val="clear" w:color="FFFFFF" w:fill="DBE5F1"/>
          </w:tcPr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</w:p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</w:p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  <w:r w:rsidRPr="00F132E4">
              <w:rPr>
                <w:b/>
                <w:sz w:val="16"/>
                <w:szCs w:val="16"/>
              </w:rPr>
              <w:t>Код ВРИ</w:t>
            </w:r>
          </w:p>
        </w:tc>
        <w:tc>
          <w:tcPr>
            <w:tcW w:w="2577" w:type="pct"/>
            <w:shd w:val="clear" w:color="FFFFFF" w:fill="DBE5F1"/>
            <w:vAlign w:val="center"/>
          </w:tcPr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  <w:r w:rsidRPr="00F132E4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1073" w:type="pct"/>
            <w:shd w:val="clear" w:color="FFFFFF" w:fill="DBE5F1"/>
            <w:vAlign w:val="center"/>
          </w:tcPr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  <w:r w:rsidRPr="00F132E4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B63929" w:rsidRPr="00F132E4">
        <w:trPr>
          <w:jc w:val="center"/>
        </w:trPr>
        <w:tc>
          <w:tcPr>
            <w:tcW w:w="996" w:type="pct"/>
          </w:tcPr>
          <w:p w:rsidR="00B63929" w:rsidRPr="00F132E4" w:rsidRDefault="00B63929">
            <w:r w:rsidRPr="00F132E4">
              <w:t>Тяжелая промышленность</w:t>
            </w:r>
          </w:p>
        </w:tc>
        <w:tc>
          <w:tcPr>
            <w:tcW w:w="354" w:type="pct"/>
          </w:tcPr>
          <w:p w:rsidR="00B63929" w:rsidRPr="00F132E4" w:rsidRDefault="00B63929">
            <w:pPr>
              <w:jc w:val="center"/>
            </w:pPr>
            <w:r w:rsidRPr="00F132E4">
              <w:t>6.2</w:t>
            </w:r>
          </w:p>
        </w:tc>
        <w:tc>
          <w:tcPr>
            <w:tcW w:w="2577" w:type="pct"/>
            <w:vMerge w:val="restart"/>
          </w:tcPr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 xml:space="preserve">Минимальный отступ от красной линии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132E4">
                <w:t>5 м</w:t>
              </w:r>
            </w:smartTag>
            <w:r w:rsidRPr="00F132E4">
              <w:t>.</w:t>
            </w:r>
          </w:p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>Минимальные отступы от границ земельных участков в целях определения мест допустимого размещения зданий, строений, сооружений – 3м.</w:t>
            </w:r>
          </w:p>
          <w:p w:rsidR="00B63929" w:rsidRPr="00F132E4" w:rsidRDefault="00B63929">
            <w:r w:rsidRPr="00F132E4">
              <w:t>Предельные размеры земельных участков, предельная высота зданий, строений, сооружений не подлежат установлению.</w:t>
            </w:r>
          </w:p>
          <w:p w:rsidR="00B63929" w:rsidRPr="00F132E4" w:rsidRDefault="00B63929">
            <w:r w:rsidRPr="00F132E4">
              <w:t>Максимальный процент застройки – 70%.</w:t>
            </w:r>
          </w:p>
          <w:p w:rsidR="00B63929" w:rsidRPr="00F132E4" w:rsidRDefault="00B63929">
            <w:r w:rsidRPr="00F132E4">
              <w:t>Минимальный процент застройки – 15%.</w:t>
            </w:r>
          </w:p>
          <w:p w:rsidR="00B63929" w:rsidRPr="00F132E4" w:rsidRDefault="00B63929"/>
        </w:tc>
        <w:tc>
          <w:tcPr>
            <w:tcW w:w="1073" w:type="pct"/>
            <w:vMerge w:val="restart"/>
          </w:tcPr>
          <w:p w:rsidR="00B63929" w:rsidRPr="00F132E4" w:rsidRDefault="00B63929">
            <w:pPr>
              <w:shd w:val="clear" w:color="auto" w:fill="FFFFFF"/>
            </w:pPr>
            <w:r w:rsidRPr="00F132E4">
              <w:rPr>
                <w:rStyle w:val="blk"/>
              </w:rPr>
              <w:t>Размещение объектов допускается строго в соответствии с требованием санитарных норм и правил с соблюдением размеров санитарно-защитных зон.</w:t>
            </w:r>
          </w:p>
          <w:p w:rsidR="00B63929" w:rsidRPr="00F132E4" w:rsidRDefault="00B63929">
            <w:pPr>
              <w:shd w:val="clear" w:color="auto" w:fill="FFFFFF"/>
            </w:pPr>
            <w:r w:rsidRPr="00F132E4">
              <w:rPr>
                <w:rStyle w:val="blk"/>
              </w:rPr>
              <w:t>В пределах приаэродромной территории запрещается проектирование, строительство и развитие городских и сельских поселений, а также строительство и реконструкция промышленных, сельскохозяйственных объектов, объектов капитального и индивидуального жилищного строительства и иных объектов без согласования со старшим авиационным начальником аэродрома.</w:t>
            </w:r>
          </w:p>
          <w:p w:rsidR="00B63929" w:rsidRPr="00F132E4" w:rsidRDefault="00B63929">
            <w:pPr>
              <w:shd w:val="clear" w:color="auto" w:fill="FFFFFF"/>
            </w:pPr>
            <w:r w:rsidRPr="00F132E4">
              <w:rPr>
                <w:bCs/>
              </w:rPr>
              <w:t xml:space="preserve">Минимальное расстояние от </w:t>
            </w:r>
            <w:r w:rsidRPr="00F132E4">
              <w:t xml:space="preserve">антенных опор (мачт и башен) высотой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F132E4">
                <w:t>50 метров</w:t>
              </w:r>
            </w:smartTag>
            <w:r w:rsidRPr="00F132E4">
              <w:t>, предназначенных для размещения средств связи</w:t>
            </w:r>
            <w:r w:rsidRPr="00F132E4">
              <w:rPr>
                <w:bCs/>
              </w:rPr>
              <w:t xml:space="preserve"> до границы </w:t>
            </w:r>
            <w:r w:rsidRPr="00F132E4">
              <w:t xml:space="preserve">земельного участка для индивидуальных жилых домов </w:t>
            </w:r>
            <w:r w:rsidRPr="00F132E4">
              <w:rPr>
                <w:bCs/>
              </w:rPr>
              <w:t xml:space="preserve">(существующих, планируемых) </w:t>
            </w:r>
            <w:r w:rsidRPr="00F132E4">
              <w:t xml:space="preserve">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132E4">
                <w:t>100 м</w:t>
              </w:r>
            </w:smartTag>
            <w:r w:rsidRPr="00F132E4">
              <w:t>.</w:t>
            </w:r>
          </w:p>
          <w:p w:rsidR="00B63929" w:rsidRPr="00F132E4" w:rsidRDefault="00B63929"/>
        </w:tc>
      </w:tr>
      <w:tr w:rsidR="00B63929" w:rsidRPr="00F132E4">
        <w:trPr>
          <w:jc w:val="center"/>
        </w:trPr>
        <w:tc>
          <w:tcPr>
            <w:tcW w:w="996" w:type="pct"/>
          </w:tcPr>
          <w:p w:rsidR="00B63929" w:rsidRPr="00F132E4" w:rsidRDefault="00B63929">
            <w:r w:rsidRPr="00F132E4">
              <w:t>Автомобилестроительная промышленность</w:t>
            </w:r>
          </w:p>
        </w:tc>
        <w:tc>
          <w:tcPr>
            <w:tcW w:w="354" w:type="pct"/>
          </w:tcPr>
          <w:p w:rsidR="00B63929" w:rsidRPr="00F132E4" w:rsidRDefault="00B63929">
            <w:pPr>
              <w:jc w:val="center"/>
            </w:pPr>
            <w:r w:rsidRPr="00F132E4">
              <w:t>6.2.1</w:t>
            </w:r>
          </w:p>
        </w:tc>
        <w:tc>
          <w:tcPr>
            <w:tcW w:w="2577" w:type="pct"/>
            <w:vMerge/>
          </w:tcPr>
          <w:p w:rsidR="00B63929" w:rsidRPr="00F132E4" w:rsidRDefault="00B63929"/>
        </w:tc>
        <w:tc>
          <w:tcPr>
            <w:tcW w:w="1073" w:type="pct"/>
            <w:vMerge/>
          </w:tcPr>
          <w:p w:rsidR="00B63929" w:rsidRPr="00F132E4" w:rsidRDefault="00B63929"/>
        </w:tc>
      </w:tr>
      <w:tr w:rsidR="00B63929" w:rsidRPr="00F132E4">
        <w:trPr>
          <w:jc w:val="center"/>
        </w:trPr>
        <w:tc>
          <w:tcPr>
            <w:tcW w:w="996" w:type="pct"/>
          </w:tcPr>
          <w:p w:rsidR="00B63929" w:rsidRPr="00F132E4" w:rsidRDefault="00B63929">
            <w:r w:rsidRPr="00F132E4">
              <w:t>Легкая промышленность</w:t>
            </w:r>
          </w:p>
        </w:tc>
        <w:tc>
          <w:tcPr>
            <w:tcW w:w="354" w:type="pct"/>
          </w:tcPr>
          <w:p w:rsidR="00B63929" w:rsidRPr="00F132E4" w:rsidRDefault="00B63929">
            <w:pPr>
              <w:jc w:val="center"/>
            </w:pPr>
            <w:r w:rsidRPr="00F132E4">
              <w:t>6.3</w:t>
            </w:r>
          </w:p>
        </w:tc>
        <w:tc>
          <w:tcPr>
            <w:tcW w:w="2577" w:type="pct"/>
            <w:vMerge/>
          </w:tcPr>
          <w:p w:rsidR="00B63929" w:rsidRPr="00F132E4" w:rsidRDefault="00B63929"/>
        </w:tc>
        <w:tc>
          <w:tcPr>
            <w:tcW w:w="1073" w:type="pct"/>
            <w:vMerge/>
          </w:tcPr>
          <w:p w:rsidR="00B63929" w:rsidRPr="00F132E4" w:rsidRDefault="00B63929"/>
        </w:tc>
      </w:tr>
      <w:tr w:rsidR="00B63929" w:rsidRPr="00F132E4">
        <w:trPr>
          <w:jc w:val="center"/>
        </w:trPr>
        <w:tc>
          <w:tcPr>
            <w:tcW w:w="996" w:type="pct"/>
          </w:tcPr>
          <w:p w:rsidR="00B63929" w:rsidRPr="00F132E4" w:rsidRDefault="00B63929">
            <w:r w:rsidRPr="00F132E4">
              <w:t>Пищевая промышленность</w:t>
            </w:r>
          </w:p>
        </w:tc>
        <w:tc>
          <w:tcPr>
            <w:tcW w:w="354" w:type="pct"/>
          </w:tcPr>
          <w:p w:rsidR="00B63929" w:rsidRPr="00F132E4" w:rsidRDefault="00B63929">
            <w:pPr>
              <w:jc w:val="center"/>
            </w:pPr>
            <w:r w:rsidRPr="00F132E4">
              <w:t>6.4</w:t>
            </w:r>
          </w:p>
        </w:tc>
        <w:tc>
          <w:tcPr>
            <w:tcW w:w="2577" w:type="pct"/>
            <w:vMerge/>
          </w:tcPr>
          <w:p w:rsidR="00B63929" w:rsidRPr="00F132E4" w:rsidRDefault="00B63929"/>
        </w:tc>
        <w:tc>
          <w:tcPr>
            <w:tcW w:w="1073" w:type="pct"/>
            <w:vMerge/>
          </w:tcPr>
          <w:p w:rsidR="00B63929" w:rsidRPr="00F132E4" w:rsidRDefault="00B63929"/>
        </w:tc>
      </w:tr>
      <w:tr w:rsidR="00B63929" w:rsidRPr="00F132E4">
        <w:trPr>
          <w:jc w:val="center"/>
        </w:trPr>
        <w:tc>
          <w:tcPr>
            <w:tcW w:w="996" w:type="pct"/>
          </w:tcPr>
          <w:p w:rsidR="00B63929" w:rsidRPr="00F132E4" w:rsidRDefault="00B63929">
            <w:r w:rsidRPr="00F132E4">
              <w:t>Строительная промышленность</w:t>
            </w:r>
          </w:p>
        </w:tc>
        <w:tc>
          <w:tcPr>
            <w:tcW w:w="354" w:type="pct"/>
          </w:tcPr>
          <w:p w:rsidR="00B63929" w:rsidRPr="00F132E4" w:rsidRDefault="00B63929">
            <w:pPr>
              <w:jc w:val="center"/>
            </w:pPr>
            <w:r w:rsidRPr="00F132E4">
              <w:t>6.6</w:t>
            </w:r>
          </w:p>
        </w:tc>
        <w:tc>
          <w:tcPr>
            <w:tcW w:w="2577" w:type="pct"/>
            <w:vMerge/>
          </w:tcPr>
          <w:p w:rsidR="00B63929" w:rsidRPr="00F132E4" w:rsidRDefault="00B63929"/>
        </w:tc>
        <w:tc>
          <w:tcPr>
            <w:tcW w:w="1073" w:type="pct"/>
            <w:vMerge/>
          </w:tcPr>
          <w:p w:rsidR="00B63929" w:rsidRPr="00F132E4" w:rsidRDefault="00B63929"/>
        </w:tc>
      </w:tr>
      <w:tr w:rsidR="00B63929" w:rsidRPr="00F132E4">
        <w:trPr>
          <w:jc w:val="center"/>
        </w:trPr>
        <w:tc>
          <w:tcPr>
            <w:tcW w:w="996" w:type="pct"/>
          </w:tcPr>
          <w:p w:rsidR="00B63929" w:rsidRPr="00F132E4" w:rsidRDefault="00B63929"/>
        </w:tc>
        <w:tc>
          <w:tcPr>
            <w:tcW w:w="354" w:type="pct"/>
          </w:tcPr>
          <w:p w:rsidR="00B63929" w:rsidRPr="00F132E4" w:rsidRDefault="00B63929">
            <w:pPr>
              <w:jc w:val="center"/>
            </w:pPr>
          </w:p>
        </w:tc>
        <w:tc>
          <w:tcPr>
            <w:tcW w:w="2577" w:type="pct"/>
            <w:vMerge/>
          </w:tcPr>
          <w:p w:rsidR="00B63929" w:rsidRPr="00F132E4" w:rsidRDefault="00B63929"/>
        </w:tc>
        <w:tc>
          <w:tcPr>
            <w:tcW w:w="1073" w:type="pct"/>
            <w:vMerge/>
          </w:tcPr>
          <w:p w:rsidR="00B63929" w:rsidRPr="00F132E4" w:rsidRDefault="00B63929"/>
        </w:tc>
      </w:tr>
      <w:tr w:rsidR="00B63929" w:rsidRPr="00F132E4">
        <w:trPr>
          <w:jc w:val="center"/>
        </w:trPr>
        <w:tc>
          <w:tcPr>
            <w:tcW w:w="996" w:type="pct"/>
          </w:tcPr>
          <w:p w:rsidR="00B63929" w:rsidRPr="00F132E4" w:rsidRDefault="00B63929">
            <w:r w:rsidRPr="00F132E4">
              <w:t xml:space="preserve">Целлюлозно-бумажная промышленность </w:t>
            </w:r>
          </w:p>
        </w:tc>
        <w:tc>
          <w:tcPr>
            <w:tcW w:w="354" w:type="pct"/>
          </w:tcPr>
          <w:p w:rsidR="00B63929" w:rsidRPr="00F132E4" w:rsidRDefault="00B63929">
            <w:pPr>
              <w:jc w:val="center"/>
            </w:pPr>
            <w:r w:rsidRPr="00F132E4">
              <w:t>6.11</w:t>
            </w:r>
          </w:p>
        </w:tc>
        <w:tc>
          <w:tcPr>
            <w:tcW w:w="2577" w:type="pct"/>
            <w:vMerge/>
          </w:tcPr>
          <w:p w:rsidR="00B63929" w:rsidRPr="00F132E4" w:rsidRDefault="00B63929"/>
        </w:tc>
        <w:tc>
          <w:tcPr>
            <w:tcW w:w="1073" w:type="pct"/>
            <w:vMerge/>
          </w:tcPr>
          <w:p w:rsidR="00B63929" w:rsidRPr="00F132E4" w:rsidRDefault="00B63929"/>
        </w:tc>
      </w:tr>
      <w:tr w:rsidR="00B63929" w:rsidRPr="00F132E4">
        <w:trPr>
          <w:trHeight w:val="276"/>
          <w:jc w:val="center"/>
        </w:trPr>
        <w:tc>
          <w:tcPr>
            <w:tcW w:w="996" w:type="pct"/>
          </w:tcPr>
          <w:p w:rsidR="00B63929" w:rsidRPr="00F132E4" w:rsidRDefault="00B63929">
            <w:r w:rsidRPr="00F132E4">
              <w:t xml:space="preserve">Железнодорожный транспорт </w:t>
            </w:r>
          </w:p>
        </w:tc>
        <w:tc>
          <w:tcPr>
            <w:tcW w:w="354" w:type="pct"/>
          </w:tcPr>
          <w:p w:rsidR="00B63929" w:rsidRPr="00F132E4" w:rsidRDefault="00B63929">
            <w:pPr>
              <w:jc w:val="center"/>
            </w:pPr>
            <w:r w:rsidRPr="00F132E4">
              <w:t>7.1</w:t>
            </w:r>
          </w:p>
        </w:tc>
        <w:tc>
          <w:tcPr>
            <w:tcW w:w="2577" w:type="pct"/>
            <w:vMerge w:val="restart"/>
          </w:tcPr>
          <w:p w:rsidR="00B63929" w:rsidRPr="00F132E4" w:rsidRDefault="00B63929">
            <w:r w:rsidRPr="00F132E4">
              <w:t>Предельные размеры земельных участков, максимальный и минимальный процент застройки, минимальные отступы от границ земельных участков в целях определения мест допустимого размещения зданий, строений, сооружений, предельная высота зданий, строений сооружений не подлежат установлению.</w:t>
            </w:r>
          </w:p>
        </w:tc>
        <w:tc>
          <w:tcPr>
            <w:tcW w:w="1073" w:type="pct"/>
            <w:vMerge/>
          </w:tcPr>
          <w:p w:rsidR="00B63929" w:rsidRPr="00F132E4" w:rsidRDefault="00B63929"/>
        </w:tc>
      </w:tr>
      <w:tr w:rsidR="00B63929" w:rsidRPr="00F132E4">
        <w:trPr>
          <w:jc w:val="center"/>
        </w:trPr>
        <w:tc>
          <w:tcPr>
            <w:tcW w:w="996" w:type="pct"/>
          </w:tcPr>
          <w:p w:rsidR="00B63929" w:rsidRPr="00F132E4" w:rsidRDefault="00B63929">
            <w:r w:rsidRPr="00F132E4">
              <w:t>Автомобильный транспорт</w:t>
            </w:r>
          </w:p>
        </w:tc>
        <w:tc>
          <w:tcPr>
            <w:tcW w:w="354" w:type="pct"/>
          </w:tcPr>
          <w:p w:rsidR="00B63929" w:rsidRPr="00F132E4" w:rsidRDefault="00B63929">
            <w:pPr>
              <w:jc w:val="center"/>
            </w:pPr>
            <w:r w:rsidRPr="00F132E4">
              <w:t>7.2</w:t>
            </w:r>
          </w:p>
        </w:tc>
        <w:tc>
          <w:tcPr>
            <w:tcW w:w="2577" w:type="pct"/>
            <w:vMerge/>
          </w:tcPr>
          <w:p w:rsidR="00B63929" w:rsidRPr="00F132E4" w:rsidRDefault="00B63929"/>
        </w:tc>
        <w:tc>
          <w:tcPr>
            <w:tcW w:w="1073" w:type="pct"/>
            <w:vMerge/>
          </w:tcPr>
          <w:p w:rsidR="00B63929" w:rsidRPr="00F132E4" w:rsidRDefault="00B63929"/>
        </w:tc>
      </w:tr>
      <w:tr w:rsidR="00B63929" w:rsidRPr="00F132E4">
        <w:trPr>
          <w:jc w:val="center"/>
        </w:trPr>
        <w:tc>
          <w:tcPr>
            <w:tcW w:w="996" w:type="pct"/>
          </w:tcPr>
          <w:p w:rsidR="00B63929" w:rsidRPr="00F132E4" w:rsidRDefault="00B63929">
            <w:r w:rsidRPr="00F132E4">
              <w:t>Коммунальное обслуживание</w:t>
            </w:r>
          </w:p>
        </w:tc>
        <w:tc>
          <w:tcPr>
            <w:tcW w:w="354" w:type="pct"/>
          </w:tcPr>
          <w:p w:rsidR="00B63929" w:rsidRPr="00F132E4" w:rsidRDefault="00B63929">
            <w:pPr>
              <w:jc w:val="center"/>
            </w:pPr>
            <w:r w:rsidRPr="00F132E4">
              <w:t>3.1</w:t>
            </w:r>
          </w:p>
        </w:tc>
        <w:tc>
          <w:tcPr>
            <w:tcW w:w="2577" w:type="pct"/>
          </w:tcPr>
          <w:p w:rsidR="00B63929" w:rsidRPr="00F132E4" w:rsidRDefault="00B63929">
            <w:r w:rsidRPr="00F132E4">
              <w:t>Предельные размеры земельных участков:</w:t>
            </w:r>
          </w:p>
          <w:p w:rsidR="00B63929" w:rsidRPr="00F132E4" w:rsidRDefault="00B63929">
            <w:r w:rsidRPr="00F132E4">
              <w:t>Минимальный – 0,5 кв.м.</w:t>
            </w:r>
          </w:p>
          <w:p w:rsidR="00B63929" w:rsidRPr="00F132E4" w:rsidRDefault="00B63929">
            <w:r w:rsidRPr="00F132E4">
              <w:t>Максимальный – 200000 кв.м.</w:t>
            </w:r>
          </w:p>
          <w:p w:rsidR="00B63929" w:rsidRPr="00F132E4" w:rsidRDefault="00B63929">
            <w:r w:rsidRPr="00F132E4">
              <w:t>Максимальный процент застройки, минимальные отступы от границ земельных участков в целях определения мест допустимого размещения зданий, строений, сооружений, предельная высота зданий, строений сооружений не подлежат установлению.</w:t>
            </w:r>
          </w:p>
          <w:p w:rsidR="00B63929" w:rsidRPr="00F132E4" w:rsidRDefault="00B63929">
            <w:r w:rsidRPr="00F132E4">
              <w:t>Минимальный процент застройки при размещении зданий и сооружений – 15%.</w:t>
            </w:r>
          </w:p>
          <w:p w:rsidR="00B63929" w:rsidRPr="00F132E4" w:rsidRDefault="00B63929">
            <w:r w:rsidRPr="00F132E4">
              <w:t>Минимальный процент застройки при размещении линейных объектов – 0.</w:t>
            </w:r>
          </w:p>
        </w:tc>
        <w:tc>
          <w:tcPr>
            <w:tcW w:w="1073" w:type="pct"/>
            <w:vMerge/>
          </w:tcPr>
          <w:p w:rsidR="00B63929" w:rsidRPr="00F132E4" w:rsidRDefault="00B63929"/>
        </w:tc>
      </w:tr>
      <w:tr w:rsidR="00B63929" w:rsidRPr="00F132E4">
        <w:trPr>
          <w:jc w:val="center"/>
        </w:trPr>
        <w:tc>
          <w:tcPr>
            <w:tcW w:w="996" w:type="pct"/>
          </w:tcPr>
          <w:p w:rsidR="00B63929" w:rsidRPr="00F132E4" w:rsidRDefault="00B63929">
            <w:r w:rsidRPr="00F132E4">
              <w:rPr>
                <w:shd w:val="clear" w:color="auto" w:fill="FFFFFF"/>
              </w:rPr>
              <w:t>Служебные гаражи</w:t>
            </w:r>
          </w:p>
        </w:tc>
        <w:tc>
          <w:tcPr>
            <w:tcW w:w="354" w:type="pct"/>
          </w:tcPr>
          <w:p w:rsidR="00B63929" w:rsidRPr="00F132E4" w:rsidRDefault="00B63929">
            <w:pPr>
              <w:jc w:val="center"/>
            </w:pPr>
            <w:r w:rsidRPr="00F132E4">
              <w:t>4.9</w:t>
            </w:r>
          </w:p>
        </w:tc>
        <w:tc>
          <w:tcPr>
            <w:tcW w:w="2577" w:type="pct"/>
          </w:tcPr>
          <w:p w:rsidR="00B63929" w:rsidRPr="00F132E4" w:rsidRDefault="00B63929">
            <w:r w:rsidRPr="00F132E4">
              <w:t>Предельные размеры земельных участков, предельная высота зданий, строений сооружений не подлежат установлению.</w:t>
            </w:r>
          </w:p>
          <w:p w:rsidR="00B63929" w:rsidRPr="00F132E4" w:rsidRDefault="00B63929">
            <w:r w:rsidRPr="00F132E4">
              <w:t>Максимальный процент застройки – 70%.</w:t>
            </w:r>
          </w:p>
          <w:p w:rsidR="00B63929" w:rsidRPr="00F132E4" w:rsidRDefault="00B63929">
            <w:r w:rsidRPr="00F132E4">
              <w:t>Минимальный процент застройки – 15%.</w:t>
            </w:r>
          </w:p>
          <w:p w:rsidR="00B63929" w:rsidRPr="00F132E4" w:rsidRDefault="00B63929">
            <w:r w:rsidRPr="00F132E4">
              <w:t>Минимальные отступы от границ земельных участков в целях определения мест допустимого размещения зданий, строений, сооружений – 5м.</w:t>
            </w:r>
          </w:p>
        </w:tc>
        <w:tc>
          <w:tcPr>
            <w:tcW w:w="1073" w:type="pct"/>
            <w:vMerge/>
          </w:tcPr>
          <w:p w:rsidR="00B63929" w:rsidRPr="00F132E4" w:rsidRDefault="00B63929"/>
        </w:tc>
      </w:tr>
      <w:tr w:rsidR="00B63929" w:rsidRPr="00F132E4">
        <w:trPr>
          <w:jc w:val="center"/>
        </w:trPr>
        <w:tc>
          <w:tcPr>
            <w:tcW w:w="996" w:type="pct"/>
          </w:tcPr>
          <w:p w:rsidR="00B63929" w:rsidRPr="00F132E4" w:rsidRDefault="00B63929">
            <w:r w:rsidRPr="00F132E4">
              <w:t xml:space="preserve">Обеспечение научной деятельности </w:t>
            </w:r>
          </w:p>
        </w:tc>
        <w:tc>
          <w:tcPr>
            <w:tcW w:w="354" w:type="pct"/>
          </w:tcPr>
          <w:p w:rsidR="00B63929" w:rsidRPr="00F132E4" w:rsidRDefault="00B63929">
            <w:pPr>
              <w:jc w:val="center"/>
            </w:pPr>
            <w:r w:rsidRPr="00F132E4">
              <w:t>3.9</w:t>
            </w:r>
          </w:p>
        </w:tc>
        <w:tc>
          <w:tcPr>
            <w:tcW w:w="2577" w:type="pct"/>
          </w:tcPr>
          <w:p w:rsidR="00B63929" w:rsidRPr="00F132E4" w:rsidRDefault="00B63929">
            <w:r w:rsidRPr="00F132E4">
              <w:t>Этажность - до 5-ти надземных этажей включительно.</w:t>
            </w:r>
          </w:p>
          <w:p w:rsidR="00B63929" w:rsidRPr="00F132E4" w:rsidRDefault="00B63929">
            <w:r w:rsidRPr="00F132E4">
              <w:t>Минимальные отступы от границ земельных участков в целях определения мест допустимого размещения зданий, строений, сооружений – 5м.</w:t>
            </w:r>
          </w:p>
          <w:p w:rsidR="00B63929" w:rsidRPr="00F132E4" w:rsidRDefault="00B63929">
            <w:r w:rsidRPr="00F132E4">
              <w:t>Предельные размеры земельных участков:</w:t>
            </w:r>
          </w:p>
          <w:p w:rsidR="00B63929" w:rsidRPr="00F132E4" w:rsidRDefault="00B63929">
            <w:r w:rsidRPr="00F132E4">
              <w:t>Минимальный – 550 кв.м.</w:t>
            </w:r>
          </w:p>
          <w:p w:rsidR="00B63929" w:rsidRPr="00F132E4" w:rsidRDefault="00B63929">
            <w:pPr>
              <w:tabs>
                <w:tab w:val="left" w:pos="2573"/>
              </w:tabs>
            </w:pPr>
            <w:r w:rsidRPr="00F132E4">
              <w:t>Максимальный размер земельного участка не подлежит установлению.</w:t>
            </w:r>
            <w:r w:rsidRPr="00F132E4">
              <w:tab/>
            </w:r>
          </w:p>
          <w:p w:rsidR="00B63929" w:rsidRPr="00F132E4" w:rsidRDefault="00B63929">
            <w:r w:rsidRPr="00F132E4">
              <w:t>Максимальный процент застройки – 70%.</w:t>
            </w:r>
          </w:p>
          <w:p w:rsidR="00B63929" w:rsidRPr="00F132E4" w:rsidRDefault="00B63929">
            <w:r w:rsidRPr="00F132E4">
              <w:t>Минимальный процент застройки – 15%.</w:t>
            </w:r>
          </w:p>
        </w:tc>
        <w:tc>
          <w:tcPr>
            <w:tcW w:w="1073" w:type="pct"/>
            <w:vMerge/>
          </w:tcPr>
          <w:p w:rsidR="00B63929" w:rsidRPr="00F132E4" w:rsidRDefault="00B63929"/>
        </w:tc>
      </w:tr>
      <w:tr w:rsidR="00B63929" w:rsidRPr="00F132E4">
        <w:trPr>
          <w:jc w:val="center"/>
        </w:trPr>
        <w:tc>
          <w:tcPr>
            <w:tcW w:w="996" w:type="pct"/>
          </w:tcPr>
          <w:p w:rsidR="00B63929" w:rsidRPr="00F132E4" w:rsidRDefault="00B63929">
            <w:r w:rsidRPr="00F132E4">
              <w:t>Обеспечение внутреннего правопорядка</w:t>
            </w:r>
          </w:p>
        </w:tc>
        <w:tc>
          <w:tcPr>
            <w:tcW w:w="354" w:type="pct"/>
          </w:tcPr>
          <w:p w:rsidR="00B63929" w:rsidRPr="00F132E4" w:rsidRDefault="00B63929">
            <w:pPr>
              <w:jc w:val="center"/>
            </w:pPr>
            <w:r w:rsidRPr="00F132E4">
              <w:t>8.3</w:t>
            </w:r>
          </w:p>
        </w:tc>
        <w:tc>
          <w:tcPr>
            <w:tcW w:w="2577" w:type="pct"/>
          </w:tcPr>
          <w:p w:rsidR="00B63929" w:rsidRPr="00F132E4" w:rsidRDefault="00B63929">
            <w:r w:rsidRPr="00F132E4">
              <w:t>Этажность - до 5-ти надземных этажей включительно.</w:t>
            </w:r>
          </w:p>
          <w:p w:rsidR="00B63929" w:rsidRPr="00F132E4" w:rsidRDefault="00B63929">
            <w:r w:rsidRPr="00F132E4">
              <w:t>Минимальные отступы от границ земельных участков в целях определения мест допустимого размещения зданий, строений, сооружений – 5м.</w:t>
            </w:r>
          </w:p>
          <w:p w:rsidR="00B63929" w:rsidRPr="00F132E4" w:rsidRDefault="00B63929">
            <w:r w:rsidRPr="00F132E4">
              <w:t>Предельные размеры земельных участков:</w:t>
            </w:r>
          </w:p>
          <w:p w:rsidR="00B63929" w:rsidRPr="00F132E4" w:rsidRDefault="00B63929">
            <w:r w:rsidRPr="00F132E4">
              <w:t>Минимальный – 550 кв.м.</w:t>
            </w:r>
          </w:p>
          <w:p w:rsidR="00B63929" w:rsidRPr="00F132E4" w:rsidRDefault="00B63929">
            <w:pPr>
              <w:tabs>
                <w:tab w:val="left" w:pos="2573"/>
              </w:tabs>
            </w:pPr>
            <w:r w:rsidRPr="00F132E4">
              <w:t>Максимальный -20000</w:t>
            </w:r>
            <w:r w:rsidRPr="00F132E4">
              <w:tab/>
            </w:r>
          </w:p>
          <w:p w:rsidR="00B63929" w:rsidRPr="00F132E4" w:rsidRDefault="00B63929">
            <w:r w:rsidRPr="00F132E4">
              <w:t>Максимальный процент застройки – 70%.</w:t>
            </w:r>
          </w:p>
          <w:p w:rsidR="00B63929" w:rsidRPr="00F132E4" w:rsidRDefault="00B63929">
            <w:r w:rsidRPr="00F132E4">
              <w:t>Минимальный процент застройки – 15%.</w:t>
            </w:r>
          </w:p>
        </w:tc>
        <w:tc>
          <w:tcPr>
            <w:tcW w:w="1073" w:type="pct"/>
            <w:vMerge/>
          </w:tcPr>
          <w:p w:rsidR="00B63929" w:rsidRPr="00F132E4" w:rsidRDefault="00B63929"/>
        </w:tc>
      </w:tr>
      <w:tr w:rsidR="00B63929" w:rsidRPr="00F132E4">
        <w:trPr>
          <w:jc w:val="center"/>
        </w:trPr>
        <w:tc>
          <w:tcPr>
            <w:tcW w:w="996" w:type="pct"/>
          </w:tcPr>
          <w:p w:rsidR="00B63929" w:rsidRPr="00F132E4" w:rsidRDefault="00B63929">
            <w:pPr>
              <w:tabs>
                <w:tab w:val="left" w:pos="3060"/>
              </w:tabs>
            </w:pPr>
            <w:r w:rsidRPr="00F132E4">
              <w:t>Деловое управление</w:t>
            </w:r>
          </w:p>
        </w:tc>
        <w:tc>
          <w:tcPr>
            <w:tcW w:w="354" w:type="pct"/>
          </w:tcPr>
          <w:p w:rsidR="00B63929" w:rsidRPr="00F132E4" w:rsidRDefault="00B63929">
            <w:pPr>
              <w:jc w:val="center"/>
            </w:pPr>
            <w:r w:rsidRPr="00F132E4">
              <w:t>4.1</w:t>
            </w:r>
          </w:p>
        </w:tc>
        <w:tc>
          <w:tcPr>
            <w:tcW w:w="2577" w:type="pct"/>
          </w:tcPr>
          <w:p w:rsidR="00B63929" w:rsidRPr="00F132E4" w:rsidRDefault="00B63929">
            <w:r w:rsidRPr="00F132E4">
              <w:t>Этажность - до 5-ти надземных этажей включительно.</w:t>
            </w:r>
          </w:p>
          <w:p w:rsidR="00B63929" w:rsidRPr="00F132E4" w:rsidRDefault="00B63929">
            <w:r w:rsidRPr="00F132E4">
              <w:t>Минимальные отступы от границ земельных участков в целях определения мест допустимого размещения зданий, строений, сооружений – 5м.</w:t>
            </w:r>
          </w:p>
          <w:p w:rsidR="00B63929" w:rsidRPr="00F132E4" w:rsidRDefault="00B63929">
            <w:r w:rsidRPr="00F132E4">
              <w:t>Предельные размеры земельных участков:</w:t>
            </w:r>
          </w:p>
          <w:p w:rsidR="00B63929" w:rsidRPr="00F132E4" w:rsidRDefault="00B63929">
            <w:r w:rsidRPr="00F132E4">
              <w:t>Минимальный – 550 кв. м.</w:t>
            </w:r>
          </w:p>
          <w:p w:rsidR="00B63929" w:rsidRPr="00F132E4" w:rsidRDefault="00B63929">
            <w:pPr>
              <w:tabs>
                <w:tab w:val="left" w:pos="2573"/>
              </w:tabs>
            </w:pPr>
            <w:r w:rsidRPr="00F132E4">
              <w:t>Максимальный – 3000 кв. м.</w:t>
            </w:r>
            <w:r w:rsidRPr="00F132E4">
              <w:tab/>
            </w:r>
          </w:p>
          <w:p w:rsidR="00B63929" w:rsidRPr="00F132E4" w:rsidRDefault="00B63929">
            <w:r w:rsidRPr="00F132E4">
              <w:t>Максимальный процент застройки – 70%.</w:t>
            </w:r>
          </w:p>
          <w:p w:rsidR="00B63929" w:rsidRPr="00F132E4" w:rsidRDefault="00B63929">
            <w:r w:rsidRPr="00F132E4">
              <w:t>Минимальный процент застройки – 15%.</w:t>
            </w:r>
          </w:p>
        </w:tc>
        <w:tc>
          <w:tcPr>
            <w:tcW w:w="1073" w:type="pct"/>
            <w:vMerge/>
          </w:tcPr>
          <w:p w:rsidR="00B63929" w:rsidRPr="00F132E4" w:rsidRDefault="00B63929"/>
        </w:tc>
      </w:tr>
      <w:tr w:rsidR="00B63929" w:rsidRPr="00F132E4">
        <w:trPr>
          <w:jc w:val="center"/>
        </w:trPr>
        <w:tc>
          <w:tcPr>
            <w:tcW w:w="996" w:type="pct"/>
          </w:tcPr>
          <w:p w:rsidR="00B63929" w:rsidRPr="00F132E4" w:rsidRDefault="00B63929">
            <w:r w:rsidRPr="00F132E4">
              <w:t>Земельные участки (территории) общего пользования</w:t>
            </w:r>
          </w:p>
        </w:tc>
        <w:tc>
          <w:tcPr>
            <w:tcW w:w="354" w:type="pct"/>
          </w:tcPr>
          <w:p w:rsidR="00B63929" w:rsidRPr="00F132E4" w:rsidRDefault="00B63929">
            <w:pPr>
              <w:jc w:val="center"/>
            </w:pPr>
            <w:r w:rsidRPr="00F132E4">
              <w:t>12.0</w:t>
            </w:r>
          </w:p>
        </w:tc>
        <w:tc>
          <w:tcPr>
            <w:tcW w:w="2577" w:type="pct"/>
          </w:tcPr>
          <w:p w:rsidR="00B63929" w:rsidRPr="00F132E4" w:rsidRDefault="00B63929">
            <w:r w:rsidRPr="00F132E4">
              <w:t>Согласно п. 4 ст.36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пользования.</w:t>
            </w:r>
          </w:p>
          <w:p w:rsidR="00B63929" w:rsidRPr="00F132E4" w:rsidRDefault="00B63929">
            <w:r w:rsidRPr="00F132E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1073" w:type="pct"/>
            <w:vMerge/>
          </w:tcPr>
          <w:p w:rsidR="00B63929" w:rsidRPr="00F132E4" w:rsidRDefault="00B63929"/>
        </w:tc>
      </w:tr>
    </w:tbl>
    <w:p w:rsidR="00B63929" w:rsidRPr="00F132E4" w:rsidRDefault="00B63929">
      <w:pPr>
        <w:ind w:firstLine="567"/>
      </w:pPr>
    </w:p>
    <w:p w:rsidR="00B63929" w:rsidRPr="00F132E4" w:rsidRDefault="00B63929">
      <w:pPr>
        <w:ind w:firstLine="567"/>
      </w:pPr>
      <w:r w:rsidRPr="00F132E4">
        <w:t>Показатели, не урегулированные в настоящей таблице, определяются в соответствии с требованиями нормативов градостроительного проектирования Алтайского края, технических регламентов, СНиП, СанПиН и других нормативных документов.</w:t>
      </w:r>
    </w:p>
    <w:p w:rsidR="00B63929" w:rsidRPr="00F132E4" w:rsidRDefault="00B63929">
      <w:pPr>
        <w:ind w:firstLine="567"/>
      </w:pPr>
    </w:p>
    <w:p w:rsidR="00B63929" w:rsidRPr="00F132E4" w:rsidRDefault="00B63929">
      <w:pPr>
        <w:rPr>
          <w:b/>
        </w:rPr>
      </w:pPr>
      <w:r w:rsidRPr="00F132E4">
        <w:rPr>
          <w:b/>
        </w:rPr>
        <w:t>2. 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2010"/>
        <w:gridCol w:w="839"/>
        <w:gridCol w:w="4887"/>
        <w:gridCol w:w="2545"/>
      </w:tblGrid>
      <w:tr w:rsidR="00B63929" w:rsidRPr="00F132E4">
        <w:trPr>
          <w:trHeight w:val="552"/>
          <w:tblHeader/>
          <w:jc w:val="center"/>
        </w:trPr>
        <w:tc>
          <w:tcPr>
            <w:tcW w:w="989" w:type="pct"/>
            <w:shd w:val="clear" w:color="FFFFFF" w:fill="DBE5F1"/>
            <w:vAlign w:val="center"/>
          </w:tcPr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  <w:r w:rsidRPr="00F132E4">
              <w:rPr>
                <w:b/>
                <w:sz w:val="16"/>
                <w:szCs w:val="16"/>
              </w:rPr>
              <w:t>ВИДЫ РАЗРЕШЕННОГО ИСПОЛЬЗОВАНИЯ (ВРИ)</w:t>
            </w:r>
          </w:p>
        </w:tc>
        <w:tc>
          <w:tcPr>
            <w:tcW w:w="419" w:type="pct"/>
            <w:shd w:val="clear" w:color="FFFFFF" w:fill="DBE5F1"/>
          </w:tcPr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</w:p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</w:p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  <w:r w:rsidRPr="00F132E4">
              <w:rPr>
                <w:b/>
                <w:sz w:val="16"/>
                <w:szCs w:val="16"/>
              </w:rPr>
              <w:t>Код ВРИ</w:t>
            </w:r>
          </w:p>
        </w:tc>
        <w:tc>
          <w:tcPr>
            <w:tcW w:w="2388" w:type="pct"/>
            <w:shd w:val="clear" w:color="FFFFFF" w:fill="DBE5F1"/>
            <w:vAlign w:val="center"/>
          </w:tcPr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  <w:r w:rsidRPr="00F132E4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1204" w:type="pct"/>
            <w:shd w:val="clear" w:color="FFFFFF" w:fill="DBE5F1"/>
            <w:vAlign w:val="center"/>
          </w:tcPr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  <w:r w:rsidRPr="00F132E4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B63929" w:rsidRPr="00F132E4">
        <w:trPr>
          <w:jc w:val="center"/>
        </w:trPr>
        <w:tc>
          <w:tcPr>
            <w:tcW w:w="989" w:type="pct"/>
          </w:tcPr>
          <w:p w:rsidR="00B63929" w:rsidRPr="00F132E4" w:rsidRDefault="00B63929">
            <w:r w:rsidRPr="00F132E4">
              <w:t>Связь</w:t>
            </w:r>
          </w:p>
        </w:tc>
        <w:tc>
          <w:tcPr>
            <w:tcW w:w="419" w:type="pct"/>
          </w:tcPr>
          <w:p w:rsidR="00B63929" w:rsidRPr="00F132E4" w:rsidRDefault="00B63929">
            <w:pPr>
              <w:jc w:val="center"/>
            </w:pPr>
            <w:r w:rsidRPr="00F132E4">
              <w:t>6.8</w:t>
            </w:r>
          </w:p>
        </w:tc>
        <w:tc>
          <w:tcPr>
            <w:tcW w:w="2388" w:type="pct"/>
          </w:tcPr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>Предельные размеры земельных участков, максимальный и минимальный процент застройки, минимальные отступы от границ земельных участков в целях определения мест допустимого размещения зданий, строений, сооружений, предельная высота зданий, строений сооружений не подлежат установлению.</w:t>
            </w:r>
          </w:p>
        </w:tc>
        <w:tc>
          <w:tcPr>
            <w:tcW w:w="1204" w:type="pct"/>
            <w:vMerge w:val="restart"/>
          </w:tcPr>
          <w:p w:rsidR="00B63929" w:rsidRPr="00F132E4" w:rsidRDefault="00B63929">
            <w:pPr>
              <w:shd w:val="clear" w:color="auto" w:fill="FFFFFF"/>
            </w:pPr>
            <w:r w:rsidRPr="00F132E4">
              <w:rPr>
                <w:rStyle w:val="blk"/>
              </w:rPr>
              <w:t>Размещение объектов допускается строго в соответствии с требованием санитарных норм и правил с соблюдением размеров санитарно-защитных зон.</w:t>
            </w:r>
          </w:p>
          <w:p w:rsidR="00B63929" w:rsidRPr="00F132E4" w:rsidRDefault="00B63929">
            <w:pPr>
              <w:shd w:val="clear" w:color="auto" w:fill="FFFFFF"/>
            </w:pPr>
            <w:r w:rsidRPr="00F132E4">
              <w:rPr>
                <w:rStyle w:val="blk"/>
              </w:rPr>
              <w:t>В пределах приаэродромной территории запрещается проектирование, строительство и развитие городских и сельских поселений, а также строительство и реконструкция промышленных, сельскохозяйственных объектов, объектов капитального и индивидуального жилищного строительства и иных объектов без согласования со старшим авиационным начальником аэродрома.</w:t>
            </w:r>
          </w:p>
          <w:p w:rsidR="00B63929" w:rsidRPr="00F132E4" w:rsidRDefault="00B63929">
            <w:pPr>
              <w:shd w:val="clear" w:color="auto" w:fill="FFFFFF"/>
            </w:pPr>
            <w:r w:rsidRPr="00F132E4">
              <w:rPr>
                <w:bCs/>
              </w:rPr>
              <w:t xml:space="preserve">Минимальное расстояние от </w:t>
            </w:r>
            <w:r w:rsidRPr="00F132E4">
              <w:t>антенных опор (мачт и башен) высотой до 50 метров, предназначенных для размещения средств связи</w:t>
            </w:r>
            <w:r w:rsidRPr="00F132E4">
              <w:rPr>
                <w:bCs/>
              </w:rPr>
              <w:t xml:space="preserve"> до границы </w:t>
            </w:r>
            <w:r w:rsidRPr="00F132E4">
              <w:t xml:space="preserve">земельного участка для индивидуальных жилых домов </w:t>
            </w:r>
            <w:r w:rsidRPr="00F132E4">
              <w:rPr>
                <w:bCs/>
              </w:rPr>
              <w:t xml:space="preserve">(существующих, планируемых) </w:t>
            </w:r>
            <w:r w:rsidRPr="00F132E4">
              <w:t>– 100 м.</w:t>
            </w:r>
          </w:p>
          <w:p w:rsidR="00B63929" w:rsidRPr="00F132E4" w:rsidRDefault="00B63929"/>
        </w:tc>
      </w:tr>
      <w:tr w:rsidR="00B63929" w:rsidRPr="00F132E4">
        <w:trPr>
          <w:jc w:val="center"/>
        </w:trPr>
        <w:tc>
          <w:tcPr>
            <w:tcW w:w="989" w:type="pct"/>
          </w:tcPr>
          <w:p w:rsidR="00B63929" w:rsidRPr="00F132E4" w:rsidRDefault="00B63929">
            <w:r w:rsidRPr="00F132E4">
              <w:t>Объекты дорожного сервиса</w:t>
            </w:r>
          </w:p>
        </w:tc>
        <w:tc>
          <w:tcPr>
            <w:tcW w:w="419" w:type="pct"/>
          </w:tcPr>
          <w:p w:rsidR="00B63929" w:rsidRPr="00F132E4" w:rsidRDefault="00B63929">
            <w:pPr>
              <w:jc w:val="center"/>
            </w:pPr>
            <w:r w:rsidRPr="00F132E4">
              <w:t>4.9.1</w:t>
            </w:r>
          </w:p>
        </w:tc>
        <w:tc>
          <w:tcPr>
            <w:tcW w:w="2388" w:type="pct"/>
          </w:tcPr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 xml:space="preserve">Предельная высота зданий, строений сооружений не подлежат установлению. </w:t>
            </w:r>
          </w:p>
          <w:p w:rsidR="00B63929" w:rsidRPr="00F132E4" w:rsidRDefault="00B63929">
            <w:r w:rsidRPr="00F132E4">
              <w:t>Предельные размеры земельных участков не подлежат установлению.</w:t>
            </w:r>
          </w:p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>Минимальный отступ от красной линии – 5 м.</w:t>
            </w:r>
          </w:p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>Минимальные отступы от границ земельных участков в целях определения мест допустимого размещения зданий, строений, сооружений – 3м.</w:t>
            </w:r>
          </w:p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>Максимальный процент застройки – 70%.</w:t>
            </w:r>
          </w:p>
          <w:p w:rsidR="00B63929" w:rsidRPr="00F132E4" w:rsidRDefault="00B63929">
            <w:r w:rsidRPr="00F132E4">
              <w:t>Минимальный процент застройки – 15%.</w:t>
            </w:r>
          </w:p>
        </w:tc>
        <w:tc>
          <w:tcPr>
            <w:tcW w:w="1204" w:type="pct"/>
            <w:vMerge/>
          </w:tcPr>
          <w:p w:rsidR="00B63929" w:rsidRPr="00F132E4" w:rsidRDefault="00B63929">
            <w:pPr>
              <w:rPr>
                <w:rStyle w:val="blk"/>
              </w:rPr>
            </w:pPr>
          </w:p>
        </w:tc>
      </w:tr>
      <w:tr w:rsidR="00B63929" w:rsidRPr="00F132E4">
        <w:trPr>
          <w:trHeight w:val="276"/>
          <w:jc w:val="center"/>
        </w:trPr>
        <w:tc>
          <w:tcPr>
            <w:tcW w:w="989" w:type="pct"/>
          </w:tcPr>
          <w:p w:rsidR="00B63929" w:rsidRPr="00F132E4" w:rsidRDefault="00B63929">
            <w:r w:rsidRPr="00F132E4">
              <w:t>Банковская и страховая деятельность</w:t>
            </w:r>
          </w:p>
        </w:tc>
        <w:tc>
          <w:tcPr>
            <w:tcW w:w="419" w:type="pct"/>
          </w:tcPr>
          <w:p w:rsidR="00B63929" w:rsidRPr="00F132E4" w:rsidRDefault="00B63929">
            <w:pPr>
              <w:jc w:val="center"/>
            </w:pPr>
            <w:r w:rsidRPr="00F132E4">
              <w:t>4.5</w:t>
            </w:r>
          </w:p>
        </w:tc>
        <w:tc>
          <w:tcPr>
            <w:tcW w:w="2388" w:type="pct"/>
            <w:vMerge w:val="restart"/>
          </w:tcPr>
          <w:p w:rsidR="00B63929" w:rsidRPr="00F132E4" w:rsidRDefault="00B63929">
            <w:r w:rsidRPr="00F132E4">
              <w:t>Предельное количество этажей – не более 5-ти надземных этажей.</w:t>
            </w:r>
          </w:p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>Минимальный отступ от красной линии – 5 м.</w:t>
            </w:r>
          </w:p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>Минимальные отступы от границ земельных участков в целях определения мест допустимого размещения зданий, строений, сооружений – 3м.</w:t>
            </w:r>
          </w:p>
          <w:p w:rsidR="00B63929" w:rsidRPr="00F132E4" w:rsidRDefault="00B63929">
            <w:r w:rsidRPr="00F132E4">
              <w:t>Предельные размеры земельных участков не подлежат установлению. Нормы расчета предельных размеров земельных участков определяются в соответствии с Нормативами градостроительного проектирования   – городского округа город Новоалтайск Алтайского края.</w:t>
            </w:r>
          </w:p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>Максимальный процент застройки – 70%.</w:t>
            </w:r>
          </w:p>
          <w:p w:rsidR="00B63929" w:rsidRPr="00F132E4" w:rsidRDefault="00B63929">
            <w:r w:rsidRPr="00F132E4">
              <w:t>Минимальный процент застройки – 15%.</w:t>
            </w:r>
          </w:p>
        </w:tc>
        <w:tc>
          <w:tcPr>
            <w:tcW w:w="1204" w:type="pct"/>
            <w:vMerge/>
          </w:tcPr>
          <w:p w:rsidR="00B63929" w:rsidRPr="00F132E4" w:rsidRDefault="00B63929">
            <w:pPr>
              <w:rPr>
                <w:rStyle w:val="blk"/>
              </w:rPr>
            </w:pPr>
          </w:p>
        </w:tc>
      </w:tr>
      <w:tr w:rsidR="00B63929" w:rsidRPr="00F132E4">
        <w:trPr>
          <w:jc w:val="center"/>
        </w:trPr>
        <w:tc>
          <w:tcPr>
            <w:tcW w:w="989" w:type="pct"/>
          </w:tcPr>
          <w:p w:rsidR="00B63929" w:rsidRPr="00F132E4" w:rsidRDefault="00B63929">
            <w:r w:rsidRPr="00F132E4">
              <w:t>Бытовое обслуживание</w:t>
            </w:r>
          </w:p>
        </w:tc>
        <w:tc>
          <w:tcPr>
            <w:tcW w:w="419" w:type="pct"/>
          </w:tcPr>
          <w:p w:rsidR="00B63929" w:rsidRPr="00F132E4" w:rsidRDefault="00B63929">
            <w:pPr>
              <w:jc w:val="center"/>
            </w:pPr>
            <w:r w:rsidRPr="00F132E4">
              <w:t>3.3</w:t>
            </w:r>
          </w:p>
        </w:tc>
        <w:tc>
          <w:tcPr>
            <w:tcW w:w="2388" w:type="pct"/>
            <w:vMerge/>
          </w:tcPr>
          <w:p w:rsidR="00B63929" w:rsidRPr="00F132E4" w:rsidRDefault="00B63929"/>
        </w:tc>
        <w:tc>
          <w:tcPr>
            <w:tcW w:w="1204" w:type="pct"/>
            <w:vMerge/>
          </w:tcPr>
          <w:p w:rsidR="00B63929" w:rsidRPr="00F132E4" w:rsidRDefault="00B63929">
            <w:pPr>
              <w:rPr>
                <w:rStyle w:val="blk"/>
              </w:rPr>
            </w:pPr>
          </w:p>
        </w:tc>
      </w:tr>
      <w:tr w:rsidR="00B63929" w:rsidRPr="00F132E4">
        <w:trPr>
          <w:jc w:val="center"/>
        </w:trPr>
        <w:tc>
          <w:tcPr>
            <w:tcW w:w="989" w:type="pct"/>
          </w:tcPr>
          <w:p w:rsidR="00B63929" w:rsidRPr="00F132E4" w:rsidRDefault="00B63929">
            <w:r w:rsidRPr="00F132E4">
              <w:t>Магазины</w:t>
            </w:r>
          </w:p>
        </w:tc>
        <w:tc>
          <w:tcPr>
            <w:tcW w:w="419" w:type="pct"/>
          </w:tcPr>
          <w:p w:rsidR="00B63929" w:rsidRPr="00F132E4" w:rsidRDefault="00B63929">
            <w:pPr>
              <w:jc w:val="center"/>
            </w:pPr>
            <w:r w:rsidRPr="00F132E4">
              <w:t>4.4</w:t>
            </w:r>
          </w:p>
        </w:tc>
        <w:tc>
          <w:tcPr>
            <w:tcW w:w="2388" w:type="pct"/>
            <w:vMerge/>
          </w:tcPr>
          <w:p w:rsidR="00B63929" w:rsidRPr="00F132E4" w:rsidRDefault="00B63929"/>
        </w:tc>
        <w:tc>
          <w:tcPr>
            <w:tcW w:w="1204" w:type="pct"/>
            <w:vMerge/>
          </w:tcPr>
          <w:p w:rsidR="00B63929" w:rsidRPr="00F132E4" w:rsidRDefault="00B63929">
            <w:pPr>
              <w:rPr>
                <w:rStyle w:val="blk"/>
              </w:rPr>
            </w:pPr>
          </w:p>
        </w:tc>
      </w:tr>
      <w:tr w:rsidR="00B63929" w:rsidRPr="00F132E4">
        <w:trPr>
          <w:jc w:val="center"/>
        </w:trPr>
        <w:tc>
          <w:tcPr>
            <w:tcW w:w="989" w:type="pct"/>
          </w:tcPr>
          <w:p w:rsidR="00B63929" w:rsidRPr="00F132E4" w:rsidRDefault="00B63929">
            <w:r w:rsidRPr="00F132E4">
              <w:t>Гостиничное обслуживание</w:t>
            </w:r>
          </w:p>
        </w:tc>
        <w:tc>
          <w:tcPr>
            <w:tcW w:w="419" w:type="pct"/>
          </w:tcPr>
          <w:p w:rsidR="00B63929" w:rsidRPr="00F132E4" w:rsidRDefault="00B63929">
            <w:pPr>
              <w:jc w:val="center"/>
            </w:pPr>
            <w:r w:rsidRPr="00F132E4">
              <w:t>4.7</w:t>
            </w:r>
          </w:p>
        </w:tc>
        <w:tc>
          <w:tcPr>
            <w:tcW w:w="2388" w:type="pct"/>
            <w:vMerge/>
          </w:tcPr>
          <w:p w:rsidR="00B63929" w:rsidRPr="00F132E4" w:rsidRDefault="00B63929"/>
        </w:tc>
        <w:tc>
          <w:tcPr>
            <w:tcW w:w="1204" w:type="pct"/>
            <w:vMerge/>
          </w:tcPr>
          <w:p w:rsidR="00B63929" w:rsidRPr="00F132E4" w:rsidRDefault="00B63929">
            <w:pPr>
              <w:rPr>
                <w:rStyle w:val="blk"/>
              </w:rPr>
            </w:pPr>
          </w:p>
        </w:tc>
      </w:tr>
      <w:tr w:rsidR="00B63929" w:rsidRPr="00F132E4">
        <w:trPr>
          <w:jc w:val="center"/>
        </w:trPr>
        <w:tc>
          <w:tcPr>
            <w:tcW w:w="989" w:type="pct"/>
          </w:tcPr>
          <w:p w:rsidR="00B63929" w:rsidRPr="00F132E4" w:rsidRDefault="00B63929">
            <w:r w:rsidRPr="00F132E4">
              <w:t>Амбулаторное ветеринарное обслуживание</w:t>
            </w:r>
          </w:p>
        </w:tc>
        <w:tc>
          <w:tcPr>
            <w:tcW w:w="419" w:type="pct"/>
          </w:tcPr>
          <w:p w:rsidR="00B63929" w:rsidRPr="00F132E4" w:rsidRDefault="00B63929">
            <w:pPr>
              <w:jc w:val="center"/>
            </w:pPr>
            <w:r w:rsidRPr="00F132E4">
              <w:t>3.10.1</w:t>
            </w:r>
          </w:p>
        </w:tc>
        <w:tc>
          <w:tcPr>
            <w:tcW w:w="2388" w:type="pct"/>
          </w:tcPr>
          <w:p w:rsidR="00B63929" w:rsidRPr="00F132E4" w:rsidRDefault="00B63929">
            <w:r w:rsidRPr="00F132E4">
              <w:t>Предельное количество этажей – не более 3-х надземных этажей.</w:t>
            </w:r>
          </w:p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>Минимальный отступ от красной линии – 5 м.</w:t>
            </w:r>
          </w:p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>Минимальные отступы от границ земельных участков в целях определения мест допустимого размещения зданий, строений, сооружений – 3м.</w:t>
            </w:r>
          </w:p>
          <w:p w:rsidR="00B63929" w:rsidRPr="00F132E4" w:rsidRDefault="00B63929">
            <w:r w:rsidRPr="00F132E4">
              <w:t>Предельные размеры земельных участков не подлежат установлению</w:t>
            </w:r>
          </w:p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>Максимальный процент застройки – 70%.</w:t>
            </w:r>
          </w:p>
          <w:p w:rsidR="00B63929" w:rsidRPr="00F132E4" w:rsidRDefault="00B63929">
            <w:r w:rsidRPr="00F132E4">
              <w:t>Минимальный процент застройки – 15%.</w:t>
            </w:r>
          </w:p>
        </w:tc>
        <w:tc>
          <w:tcPr>
            <w:tcW w:w="1204" w:type="pct"/>
            <w:vMerge/>
          </w:tcPr>
          <w:p w:rsidR="00B63929" w:rsidRPr="00F132E4" w:rsidRDefault="00B63929">
            <w:pPr>
              <w:rPr>
                <w:rStyle w:val="blk"/>
              </w:rPr>
            </w:pPr>
          </w:p>
        </w:tc>
      </w:tr>
      <w:tr w:rsidR="00B63929" w:rsidRPr="00F132E4">
        <w:trPr>
          <w:jc w:val="center"/>
        </w:trPr>
        <w:tc>
          <w:tcPr>
            <w:tcW w:w="989" w:type="pct"/>
            <w:tcBorders>
              <w:bottom w:val="single" w:sz="4" w:space="0" w:color="000000"/>
            </w:tcBorders>
          </w:tcPr>
          <w:p w:rsidR="00B63929" w:rsidRPr="00F132E4" w:rsidRDefault="00B63929">
            <w:r w:rsidRPr="00F132E4">
              <w:t>Приюты для животных</w:t>
            </w:r>
          </w:p>
        </w:tc>
        <w:tc>
          <w:tcPr>
            <w:tcW w:w="419" w:type="pct"/>
            <w:tcBorders>
              <w:bottom w:val="single" w:sz="4" w:space="0" w:color="000000"/>
            </w:tcBorders>
          </w:tcPr>
          <w:p w:rsidR="00B63929" w:rsidRPr="00F132E4" w:rsidRDefault="00B63929">
            <w:pPr>
              <w:jc w:val="center"/>
            </w:pPr>
            <w:r w:rsidRPr="00F132E4">
              <w:t>3.10.2</w:t>
            </w:r>
          </w:p>
        </w:tc>
        <w:tc>
          <w:tcPr>
            <w:tcW w:w="2388" w:type="pct"/>
            <w:tcBorders>
              <w:bottom w:val="single" w:sz="4" w:space="0" w:color="000000"/>
            </w:tcBorders>
          </w:tcPr>
          <w:p w:rsidR="00B63929" w:rsidRPr="00F132E4" w:rsidRDefault="00B63929">
            <w:r w:rsidRPr="00F132E4">
              <w:t>Предельное количество этажей – не более 2-х надземных этажей.</w:t>
            </w:r>
          </w:p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>Минимальный отступ от красной линии – 5 м.</w:t>
            </w:r>
          </w:p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>Минимальные отступы от границ земельных участков в целях определения мест допустимого размещения зданий, строений, сооружений – 3м.</w:t>
            </w:r>
          </w:p>
          <w:p w:rsidR="00B63929" w:rsidRPr="00F132E4" w:rsidRDefault="00B63929">
            <w:r w:rsidRPr="00F132E4">
              <w:t>Предельные размеры земельных участков не подлежат установлению</w:t>
            </w:r>
          </w:p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>Максимальный процент застройки – 70%.</w:t>
            </w:r>
          </w:p>
          <w:p w:rsidR="00B63929" w:rsidRPr="00F132E4" w:rsidRDefault="00B63929">
            <w:r w:rsidRPr="00F132E4">
              <w:t>Минимальный процент застройки – 15%.</w:t>
            </w:r>
          </w:p>
        </w:tc>
        <w:tc>
          <w:tcPr>
            <w:tcW w:w="1204" w:type="pct"/>
            <w:vMerge/>
            <w:tcBorders>
              <w:bottom w:val="single" w:sz="4" w:space="0" w:color="000000"/>
            </w:tcBorders>
          </w:tcPr>
          <w:p w:rsidR="00B63929" w:rsidRPr="00F132E4" w:rsidRDefault="00B63929">
            <w:pPr>
              <w:rPr>
                <w:rStyle w:val="blk"/>
              </w:rPr>
            </w:pPr>
          </w:p>
        </w:tc>
      </w:tr>
      <w:tr w:rsidR="00B63929" w:rsidRPr="00F132E4">
        <w:trPr>
          <w:jc w:val="center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29" w:rsidRPr="00F132E4" w:rsidRDefault="00B63929">
            <w:r w:rsidRPr="00F132E4">
              <w:rPr>
                <w:shd w:val="clear" w:color="auto" w:fill="FFFFFF"/>
              </w:rPr>
              <w:t>Ритуальная деятельность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29" w:rsidRPr="00F132E4" w:rsidRDefault="00B63929">
            <w:pPr>
              <w:jc w:val="center"/>
            </w:pPr>
            <w:r w:rsidRPr="00F132E4">
              <w:t>12.1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29" w:rsidRPr="00F132E4" w:rsidRDefault="00B63929">
            <w:r w:rsidRPr="00F132E4">
              <w:t>Предельные размеры земельных участков:</w:t>
            </w:r>
          </w:p>
          <w:p w:rsidR="00B63929" w:rsidRPr="00F132E4" w:rsidRDefault="00B63929">
            <w:r w:rsidRPr="00F132E4">
              <w:t>Минимальный – 1000 кв.м.</w:t>
            </w:r>
          </w:p>
          <w:p w:rsidR="00B63929" w:rsidRPr="00F132E4" w:rsidRDefault="00B63929">
            <w:r w:rsidRPr="00F132E4">
              <w:t>Максимальный – 400000 кв.м.</w:t>
            </w:r>
          </w:p>
          <w:p w:rsidR="00B63929" w:rsidRPr="00F132E4" w:rsidRDefault="00B63929">
            <w:r w:rsidRPr="00F132E4">
              <w:t>Максимальный и минимальный процент застройки, минимальные отступы от границ земельных участков в целях определения мест допустимого размещения зданий, строений, сооружений, предельная высота зданий, строений сооружений не подлежат установлению.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29" w:rsidRPr="00F132E4" w:rsidRDefault="00B63929">
            <w:r w:rsidRPr="00F132E4">
              <w:t>Правовой режим земельных участков, расположенных в зоне, занятой кладбищами, определяется в соответствии с Федеральным законом от 12.01.1996 года №8-ФЗ «О погребении и похоронном деле».</w:t>
            </w:r>
          </w:p>
        </w:tc>
      </w:tr>
      <w:tr w:rsidR="00B63929" w:rsidRPr="00F132E4">
        <w:trPr>
          <w:jc w:val="center"/>
        </w:trPr>
        <w:tc>
          <w:tcPr>
            <w:tcW w:w="989" w:type="pct"/>
            <w:tcBorders>
              <w:top w:val="single" w:sz="4" w:space="0" w:color="000000"/>
              <w:bottom w:val="single" w:sz="4" w:space="0" w:color="000000"/>
            </w:tcBorders>
          </w:tcPr>
          <w:p w:rsidR="00B63929" w:rsidRPr="00F132E4" w:rsidRDefault="00B63929">
            <w:r w:rsidRPr="00F132E4">
              <w:rPr>
                <w:shd w:val="clear" w:color="auto" w:fill="FFFFFF"/>
              </w:rPr>
              <w:t>Овощеводство</w:t>
            </w:r>
          </w:p>
        </w:tc>
        <w:tc>
          <w:tcPr>
            <w:tcW w:w="419" w:type="pct"/>
            <w:tcBorders>
              <w:top w:val="single" w:sz="4" w:space="0" w:color="000000"/>
              <w:bottom w:val="single" w:sz="4" w:space="0" w:color="000000"/>
            </w:tcBorders>
          </w:tcPr>
          <w:p w:rsidR="00B63929" w:rsidRPr="00F132E4" w:rsidRDefault="00B63929">
            <w:pPr>
              <w:jc w:val="center"/>
            </w:pPr>
            <w:r w:rsidRPr="00F132E4">
              <w:t>1.3</w:t>
            </w:r>
          </w:p>
        </w:tc>
        <w:tc>
          <w:tcPr>
            <w:tcW w:w="2388" w:type="pct"/>
            <w:tcBorders>
              <w:top w:val="single" w:sz="4" w:space="0" w:color="000000"/>
              <w:bottom w:val="single" w:sz="4" w:space="0" w:color="000000"/>
            </w:tcBorders>
          </w:tcPr>
          <w:p w:rsidR="00B63929" w:rsidRPr="00F132E4" w:rsidRDefault="00B63929">
            <w:r w:rsidRPr="00F132E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1204" w:type="pct"/>
            <w:tcBorders>
              <w:top w:val="single" w:sz="4" w:space="0" w:color="000000"/>
              <w:bottom w:val="single" w:sz="4" w:space="0" w:color="000000"/>
            </w:tcBorders>
          </w:tcPr>
          <w:p w:rsidR="00B63929" w:rsidRPr="00F132E4" w:rsidRDefault="00B63929"/>
        </w:tc>
      </w:tr>
      <w:tr w:rsidR="00B63929" w:rsidRPr="00F132E4">
        <w:trPr>
          <w:jc w:val="center"/>
        </w:trPr>
        <w:tc>
          <w:tcPr>
            <w:tcW w:w="989" w:type="pct"/>
            <w:tcBorders>
              <w:top w:val="single" w:sz="4" w:space="0" w:color="000000"/>
            </w:tcBorders>
          </w:tcPr>
          <w:p w:rsidR="00B63929" w:rsidRPr="00F132E4" w:rsidRDefault="00B63929">
            <w:r w:rsidRPr="00F132E4">
              <w:t xml:space="preserve">Склад </w:t>
            </w:r>
          </w:p>
        </w:tc>
        <w:tc>
          <w:tcPr>
            <w:tcW w:w="419" w:type="pct"/>
            <w:tcBorders>
              <w:top w:val="single" w:sz="4" w:space="0" w:color="000000"/>
            </w:tcBorders>
          </w:tcPr>
          <w:p w:rsidR="00B63929" w:rsidRPr="00F132E4" w:rsidRDefault="00B63929">
            <w:pPr>
              <w:jc w:val="center"/>
            </w:pPr>
            <w:r w:rsidRPr="00F132E4">
              <w:t>6.9</w:t>
            </w:r>
          </w:p>
        </w:tc>
        <w:tc>
          <w:tcPr>
            <w:tcW w:w="2388" w:type="pct"/>
            <w:tcBorders>
              <w:top w:val="single" w:sz="4" w:space="0" w:color="000000"/>
            </w:tcBorders>
          </w:tcPr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>Минимальный отступ от красной линии – 5 м.</w:t>
            </w:r>
          </w:p>
          <w:p w:rsidR="00B63929" w:rsidRPr="00F132E4" w:rsidRDefault="00B63929">
            <w:pPr>
              <w:tabs>
                <w:tab w:val="left" w:pos="3204"/>
              </w:tabs>
            </w:pPr>
            <w:r w:rsidRPr="00F132E4">
              <w:t>Минимальные отступы от границ земельных участков в целях определения мест допустимого размещения зданий, строений, сооружений – 3м.</w:t>
            </w:r>
          </w:p>
          <w:p w:rsidR="00B63929" w:rsidRPr="00F132E4" w:rsidRDefault="00B63929">
            <w:r w:rsidRPr="00F132E4">
              <w:t>Предельные размеры земельных участков, предельная высота зданий, строений, сооружений не подлежат установлению.</w:t>
            </w:r>
          </w:p>
          <w:p w:rsidR="00B63929" w:rsidRPr="00F132E4" w:rsidRDefault="00B63929">
            <w:r w:rsidRPr="00F132E4">
              <w:t>Максимальный процент застройки – 70%.</w:t>
            </w:r>
          </w:p>
          <w:p w:rsidR="00B63929" w:rsidRPr="00F132E4" w:rsidRDefault="00B63929">
            <w:r w:rsidRPr="00F132E4">
              <w:t>Минимальный процент застройки – 15%.</w:t>
            </w:r>
          </w:p>
          <w:p w:rsidR="00B63929" w:rsidRPr="00F132E4" w:rsidRDefault="00B63929"/>
        </w:tc>
        <w:tc>
          <w:tcPr>
            <w:tcW w:w="1204" w:type="pct"/>
            <w:tcBorders>
              <w:top w:val="single" w:sz="4" w:space="0" w:color="000000"/>
            </w:tcBorders>
          </w:tcPr>
          <w:p w:rsidR="00B63929" w:rsidRPr="00F132E4" w:rsidRDefault="00B63929"/>
        </w:tc>
      </w:tr>
    </w:tbl>
    <w:p w:rsidR="00B63929" w:rsidRPr="00F132E4" w:rsidRDefault="00B63929">
      <w:pPr>
        <w:ind w:firstLine="567"/>
      </w:pPr>
    </w:p>
    <w:p w:rsidR="00B63929" w:rsidRPr="00F132E4" w:rsidRDefault="00B63929">
      <w:pPr>
        <w:ind w:firstLine="567"/>
      </w:pPr>
      <w:r w:rsidRPr="00F132E4">
        <w:t>Показатели, не урегулированные в настоящей таблице, определяются в соответствии с требованиями нормативов градостроительного проектирования Алтайского края, технических регламентов, СНиП, СанПиН и других нормативных документов.</w:t>
      </w:r>
    </w:p>
    <w:p w:rsidR="00B63929" w:rsidRPr="00F132E4" w:rsidRDefault="00B63929">
      <w:pPr>
        <w:ind w:firstLine="567"/>
      </w:pPr>
    </w:p>
    <w:p w:rsidR="00B63929" w:rsidRPr="00F132E4" w:rsidRDefault="00B63929">
      <w:pPr>
        <w:rPr>
          <w:b/>
        </w:rPr>
      </w:pPr>
      <w:r w:rsidRPr="00F132E4">
        <w:rPr>
          <w:b/>
        </w:rPr>
        <w:t>3. 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2228"/>
        <w:gridCol w:w="644"/>
        <w:gridCol w:w="5521"/>
        <w:gridCol w:w="1888"/>
      </w:tblGrid>
      <w:tr w:rsidR="00B63929" w:rsidRPr="00F132E4">
        <w:trPr>
          <w:trHeight w:val="552"/>
          <w:tblHeader/>
          <w:jc w:val="center"/>
        </w:trPr>
        <w:tc>
          <w:tcPr>
            <w:tcW w:w="1084" w:type="pct"/>
            <w:shd w:val="clear" w:color="FFFFFF" w:fill="DBE5F1"/>
            <w:vAlign w:val="center"/>
          </w:tcPr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  <w:r w:rsidRPr="00F132E4">
              <w:rPr>
                <w:b/>
                <w:sz w:val="16"/>
                <w:szCs w:val="16"/>
              </w:rPr>
              <w:t>ВИДЫ РАЗРЕШЕННОГО ИСПОЛЬЗОВАНИЯ (ВРИ)</w:t>
            </w:r>
          </w:p>
        </w:tc>
        <w:tc>
          <w:tcPr>
            <w:tcW w:w="313" w:type="pct"/>
            <w:shd w:val="clear" w:color="FFFFFF" w:fill="DBE5F1"/>
          </w:tcPr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</w:p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</w:p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  <w:r w:rsidRPr="00F132E4">
              <w:rPr>
                <w:b/>
                <w:sz w:val="16"/>
                <w:szCs w:val="16"/>
              </w:rPr>
              <w:t>Код ВРИ</w:t>
            </w:r>
          </w:p>
        </w:tc>
        <w:tc>
          <w:tcPr>
            <w:tcW w:w="2685" w:type="pct"/>
            <w:shd w:val="clear" w:color="FFFFFF" w:fill="DBE5F1"/>
            <w:vAlign w:val="center"/>
          </w:tcPr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  <w:r w:rsidRPr="00F132E4"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917" w:type="pct"/>
            <w:shd w:val="clear" w:color="FFFFFF" w:fill="DBE5F1"/>
            <w:vAlign w:val="center"/>
          </w:tcPr>
          <w:p w:rsidR="00B63929" w:rsidRPr="00F132E4" w:rsidRDefault="00B63929">
            <w:pPr>
              <w:jc w:val="center"/>
              <w:rPr>
                <w:b/>
                <w:sz w:val="16"/>
                <w:szCs w:val="16"/>
              </w:rPr>
            </w:pPr>
            <w:r w:rsidRPr="00F132E4"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B63929" w:rsidRPr="00F132E4">
        <w:trPr>
          <w:jc w:val="center"/>
        </w:trPr>
        <w:tc>
          <w:tcPr>
            <w:tcW w:w="1084" w:type="pct"/>
          </w:tcPr>
          <w:p w:rsidR="00B63929" w:rsidRPr="00F132E4" w:rsidRDefault="00B63929">
            <w:r w:rsidRPr="00F132E4">
              <w:t>Коммунальное обслуживание</w:t>
            </w:r>
          </w:p>
        </w:tc>
        <w:tc>
          <w:tcPr>
            <w:tcW w:w="313" w:type="pct"/>
          </w:tcPr>
          <w:p w:rsidR="00B63929" w:rsidRPr="00F132E4" w:rsidRDefault="00B63929">
            <w:pPr>
              <w:jc w:val="center"/>
            </w:pPr>
            <w:r w:rsidRPr="00F132E4">
              <w:t>3.1</w:t>
            </w:r>
          </w:p>
        </w:tc>
        <w:tc>
          <w:tcPr>
            <w:tcW w:w="3603" w:type="pct"/>
            <w:gridSpan w:val="2"/>
          </w:tcPr>
          <w:p w:rsidR="00B63929" w:rsidRPr="00F132E4" w:rsidRDefault="00B63929">
            <w:pPr>
              <w:ind w:firstLine="30"/>
            </w:pPr>
            <w:r w:rsidRPr="00F132E4">
              <w:t>Предельные размеры земельных участков, максимальный процент застройки, минимальные отступы от границ земельных участков в целях определения мест допустимого размещения зданий, строений, сооружений, предельная высота зданий, строений сооружений не подлежат установлению. Согласно ст.37 ГК РФ,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      </w:r>
          </w:p>
          <w:p w:rsidR="00B63929" w:rsidRPr="00F132E4" w:rsidRDefault="00B63929">
            <w:r w:rsidRPr="00F132E4">
              <w:t>Минимальный процент застройки при размещении зданий и сооружений – 15%.</w:t>
            </w:r>
          </w:p>
          <w:p w:rsidR="00B63929" w:rsidRPr="00F132E4" w:rsidRDefault="00B63929">
            <w:pPr>
              <w:ind w:firstLine="30"/>
            </w:pPr>
            <w:r w:rsidRPr="00F132E4">
              <w:t>Минимальный процент застройки при размещении линейных объектов – 0.</w:t>
            </w:r>
          </w:p>
        </w:tc>
      </w:tr>
    </w:tbl>
    <w:p w:rsidR="00B63929" w:rsidRDefault="00B63929">
      <w:pPr>
        <w:ind w:firstLine="708"/>
        <w:jc w:val="both"/>
        <w:rPr>
          <w:szCs w:val="26"/>
          <w:highlight w:val="white"/>
        </w:rPr>
      </w:pPr>
    </w:p>
    <w:p w:rsidR="00B63929" w:rsidRPr="00F132E4" w:rsidRDefault="00B63929">
      <w:pPr>
        <w:ind w:firstLine="708"/>
        <w:jc w:val="both"/>
        <w:rPr>
          <w:szCs w:val="26"/>
          <w:highlight w:val="white"/>
        </w:rPr>
      </w:pPr>
      <w:r w:rsidRPr="00F132E4">
        <w:rPr>
          <w:bCs/>
          <w:szCs w:val="26"/>
          <w:highlight w:val="white"/>
        </w:rPr>
        <w:t>Правила размещены на официальном сайте</w:t>
      </w:r>
      <w:r w:rsidRPr="00F132E4">
        <w:rPr>
          <w:highlight w:val="white"/>
        </w:rPr>
        <w:t xml:space="preserve"> города Новоалтайска</w:t>
      </w:r>
      <w:r w:rsidRPr="00F132E4">
        <w:rPr>
          <w:bCs/>
          <w:szCs w:val="26"/>
          <w:highlight w:val="white"/>
        </w:rPr>
        <w:t xml:space="preserve"> https://novoaltaysk.gosuslugi.ru/deyatelnost/napravleniya-deyatelnosti/gradostroitelstvo/pravila-zemlepolzovaniya-i-zastroyki/</w:t>
      </w:r>
    </w:p>
    <w:p w:rsidR="00B63929" w:rsidRDefault="00B63929">
      <w:pPr>
        <w:spacing w:line="276" w:lineRule="auto"/>
        <w:ind w:firstLine="708"/>
        <w:jc w:val="both"/>
        <w:rPr>
          <w:b/>
        </w:rPr>
      </w:pPr>
      <w:r>
        <w:rPr>
          <w:b/>
        </w:rPr>
        <w:t>5. Форма заявки на участие в аукционе с указанием банковских реквизитов счета для возврата задатка</w:t>
      </w:r>
    </w:p>
    <w:p w:rsidR="00B63929" w:rsidRDefault="00B63929">
      <w:pPr>
        <w:ind w:firstLine="709"/>
        <w:jc w:val="both"/>
        <w:rPr>
          <w:bCs/>
        </w:rPr>
      </w:pPr>
      <w:r>
        <w:rPr>
          <w:bCs/>
        </w:rPr>
        <w:t>Форма заявки на участие в аукционе определена в Приложении № 1 к настоящему извещению о проведении торгов.</w:t>
      </w:r>
    </w:p>
    <w:p w:rsidR="00B63929" w:rsidRDefault="00B63929">
      <w:pPr>
        <w:tabs>
          <w:tab w:val="left" w:pos="720"/>
        </w:tabs>
        <w:jc w:val="both"/>
        <w:rPr>
          <w:b/>
        </w:rPr>
      </w:pPr>
      <w:r>
        <w:rPr>
          <w:b/>
        </w:rPr>
        <w:tab/>
        <w:t>6. Порядок приема заявок на участие в аукционе (место приема, дата и время начала и окончания приема заявок на участие в аукционе)</w:t>
      </w:r>
    </w:p>
    <w:p w:rsidR="00B63929" w:rsidRDefault="00B63929">
      <w:pPr>
        <w:tabs>
          <w:tab w:val="left" w:pos="720"/>
        </w:tabs>
        <w:jc w:val="both"/>
      </w:pPr>
      <w:r>
        <w:tab/>
      </w:r>
      <w:r>
        <w:rPr>
          <w:u w:val="single"/>
        </w:rPr>
        <w:t>Место приема заявок</w:t>
      </w:r>
      <w:r>
        <w:t>: г. Новоалтайск, ул. Красногвардейская, 8, каб. 3.</w:t>
      </w:r>
    </w:p>
    <w:p w:rsidR="00B63929" w:rsidRPr="009B4893" w:rsidRDefault="00B63929">
      <w:pPr>
        <w:pStyle w:val="S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Дата и время начала приема </w:t>
      </w:r>
      <w:r w:rsidRPr="009B4893">
        <w:rPr>
          <w:sz w:val="24"/>
          <w:szCs w:val="24"/>
          <w:u w:val="single"/>
        </w:rPr>
        <w:t xml:space="preserve">заявок: </w:t>
      </w:r>
      <w:r w:rsidRPr="009B4893">
        <w:rPr>
          <w:b/>
          <w:sz w:val="24"/>
          <w:szCs w:val="24"/>
          <w:u w:val="single"/>
        </w:rPr>
        <w:t>25</w:t>
      </w:r>
      <w:r w:rsidRPr="009B4893">
        <w:rPr>
          <w:b/>
          <w:sz w:val="24"/>
          <w:szCs w:val="24"/>
        </w:rPr>
        <w:t>.07.2025</w:t>
      </w:r>
      <w:r w:rsidRPr="009B4893">
        <w:rPr>
          <w:sz w:val="24"/>
          <w:szCs w:val="24"/>
        </w:rPr>
        <w:t xml:space="preserve"> с 10 час 00 мин. (время местное).</w:t>
      </w:r>
    </w:p>
    <w:p w:rsidR="00B63929" w:rsidRPr="009B4893" w:rsidRDefault="00B63929">
      <w:pPr>
        <w:pStyle w:val="S"/>
        <w:rPr>
          <w:sz w:val="24"/>
          <w:szCs w:val="24"/>
        </w:rPr>
      </w:pPr>
      <w:r w:rsidRPr="009B4893">
        <w:rPr>
          <w:sz w:val="24"/>
          <w:szCs w:val="24"/>
          <w:u w:val="single"/>
        </w:rPr>
        <w:t xml:space="preserve">Дата и время окончания приема заявок: </w:t>
      </w:r>
      <w:r w:rsidRPr="009B4893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8</w:t>
      </w:r>
      <w:r w:rsidRPr="009B4893">
        <w:rPr>
          <w:b/>
          <w:sz w:val="24"/>
          <w:szCs w:val="24"/>
        </w:rPr>
        <w:t>.08.2025</w:t>
      </w:r>
      <w:r>
        <w:rPr>
          <w:sz w:val="24"/>
          <w:szCs w:val="24"/>
        </w:rPr>
        <w:t xml:space="preserve"> в 17</w:t>
      </w:r>
      <w:r w:rsidRPr="009B4893">
        <w:rPr>
          <w:sz w:val="24"/>
          <w:szCs w:val="24"/>
        </w:rPr>
        <w:t xml:space="preserve"> час 00 мин. (время местное).</w:t>
      </w:r>
    </w:p>
    <w:p w:rsidR="00B63929" w:rsidRPr="009B4893" w:rsidRDefault="00B63929">
      <w:pPr>
        <w:tabs>
          <w:tab w:val="left" w:pos="720"/>
        </w:tabs>
        <w:ind w:firstLine="720"/>
        <w:jc w:val="both"/>
        <w:rPr>
          <w:u w:val="single"/>
        </w:rPr>
      </w:pPr>
      <w:r w:rsidRPr="009B4893">
        <w:rPr>
          <w:u w:val="single"/>
        </w:rPr>
        <w:t>Порядок приема заявок на участие в аукционе:</w:t>
      </w:r>
    </w:p>
    <w:p w:rsidR="00B63929" w:rsidRPr="009B4893" w:rsidRDefault="00B63929">
      <w:pPr>
        <w:ind w:firstLine="708"/>
        <w:jc w:val="both"/>
      </w:pPr>
      <w:r w:rsidRPr="009B4893">
        <w:t>Заявки на участие в аукционе предоставляются ежедневно, кроме выходных (суббота, воскресенье) и праздничных дней, с 08-00 до 17-00 местного времени (в пятницу – до 16-00 местного времени).</w:t>
      </w:r>
    </w:p>
    <w:p w:rsidR="00B63929" w:rsidRPr="009B4893" w:rsidRDefault="00B63929">
      <w:pPr>
        <w:tabs>
          <w:tab w:val="left" w:pos="720"/>
        </w:tabs>
        <w:jc w:val="both"/>
      </w:pPr>
      <w:r w:rsidRPr="009B4893">
        <w:tab/>
        <w:t xml:space="preserve">Рассмотрение заявок на участие в аукционе: </w:t>
      </w:r>
      <w:r w:rsidRPr="009B4893">
        <w:rPr>
          <w:b/>
        </w:rPr>
        <w:t xml:space="preserve">01 сентября </w:t>
      </w:r>
      <w:bookmarkStart w:id="1" w:name="_GoBack"/>
      <w:bookmarkEnd w:id="1"/>
      <w:r w:rsidRPr="009B4893">
        <w:rPr>
          <w:b/>
        </w:rPr>
        <w:t>2025  года</w:t>
      </w:r>
      <w:r w:rsidRPr="009B4893">
        <w:t>.</w:t>
      </w:r>
    </w:p>
    <w:p w:rsidR="00B63929" w:rsidRDefault="00B63929">
      <w:pPr>
        <w:tabs>
          <w:tab w:val="left" w:pos="720"/>
        </w:tabs>
        <w:jc w:val="both"/>
        <w:rPr>
          <w:lang w:eastAsia="en-US"/>
        </w:rPr>
      </w:pPr>
      <w:r w:rsidRPr="009B4893">
        <w:rPr>
          <w:lang w:eastAsia="en-US"/>
        </w:rPr>
        <w:tab/>
        <w:t>Подать заявку на участие в аукционе может лицо, которое вправе приобрести объект незавершенного строительства в собственность (далее - заявитель), за исключением лиц</w:t>
      </w:r>
      <w:r>
        <w:rPr>
          <w:lang w:eastAsia="en-US"/>
        </w:rPr>
        <w:t>, установленных п.5, ст.449.1 Гражданского кодекса РФ, а именно: собственник объекта незавершенного строительства,  организации, на которые возложены оценка и реализация имущества собственника объекта незавершенного строительства,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B63929" w:rsidRDefault="00B63929">
      <w:pPr>
        <w:tabs>
          <w:tab w:val="left" w:pos="720"/>
        </w:tabs>
        <w:jc w:val="both"/>
        <w:rPr>
          <w:lang w:eastAsia="en-US"/>
        </w:rPr>
      </w:pPr>
      <w:r>
        <w:rPr>
          <w:lang w:eastAsia="en-US"/>
        </w:rPr>
        <w:tab/>
        <w:t>Один заявитель вправе подать только одну заявку на участие в аукционе.</w:t>
      </w:r>
    </w:p>
    <w:p w:rsidR="00B63929" w:rsidRDefault="00B63929">
      <w:pPr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с даты подписания протокола о результатах аукциона.</w:t>
      </w:r>
    </w:p>
    <w:p w:rsidR="00B63929" w:rsidRDefault="00B63929">
      <w:pPr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аукционе.</w:t>
      </w:r>
    </w:p>
    <w:p w:rsidR="00B63929" w:rsidRDefault="00B63929">
      <w:pPr>
        <w:jc w:val="both"/>
        <w:rPr>
          <w:lang w:eastAsia="en-US"/>
        </w:rPr>
      </w:pPr>
      <w:r>
        <w:tab/>
      </w:r>
      <w:r>
        <w:rPr>
          <w:lang w:eastAsia="en-US"/>
        </w:rPr>
        <w:t>Для участия в аукционе заявитель представляет в срок, установленный в извещении о проведении аукциона, следующие документы:</w:t>
      </w:r>
    </w:p>
    <w:p w:rsidR="00B63929" w:rsidRDefault="00B63929">
      <w:pPr>
        <w:ind w:firstLine="540"/>
        <w:jc w:val="both"/>
        <w:rPr>
          <w:lang w:eastAsia="en-US"/>
        </w:rPr>
      </w:pPr>
      <w:r>
        <w:rPr>
          <w:lang w:eastAsia="en-US"/>
        </w:rPr>
        <w:t>а) заявка на участие в аукционе по установленной в извещении о проведении аукциона форме;</w:t>
      </w:r>
    </w:p>
    <w:p w:rsidR="00B63929" w:rsidRDefault="00B63929">
      <w:pPr>
        <w:ind w:firstLine="540"/>
        <w:jc w:val="both"/>
        <w:rPr>
          <w:lang w:eastAsia="en-US"/>
        </w:rPr>
      </w:pPr>
      <w:r>
        <w:rPr>
          <w:lang w:eastAsia="en-US"/>
        </w:rPr>
        <w:t>б) копии документов, удостоверяющих личность заявителя (для граждан);</w:t>
      </w:r>
    </w:p>
    <w:p w:rsidR="00B63929" w:rsidRDefault="00B63929">
      <w:pPr>
        <w:ind w:firstLine="540"/>
        <w:jc w:val="both"/>
        <w:rPr>
          <w:lang w:eastAsia="en-US"/>
        </w:rPr>
      </w:pPr>
      <w:r>
        <w:rPr>
          <w:lang w:eastAsia="en-US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B63929" w:rsidRDefault="00B63929">
      <w:pPr>
        <w:ind w:firstLine="540"/>
        <w:jc w:val="both"/>
        <w:rPr>
          <w:lang w:eastAsia="en-US"/>
        </w:rPr>
      </w:pPr>
      <w:r>
        <w:rPr>
          <w:lang w:eastAsia="en-US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929" w:rsidRDefault="00B63929">
      <w:pPr>
        <w:ind w:firstLine="540"/>
        <w:jc w:val="both"/>
        <w:rPr>
          <w:lang w:eastAsia="en-US"/>
        </w:rPr>
      </w:pPr>
      <w:r>
        <w:rPr>
          <w:lang w:eastAsia="en-US"/>
        </w:rPr>
        <w:t>д) документы, подтверждающие внесение задатка.</w:t>
      </w:r>
    </w:p>
    <w:p w:rsidR="00B63929" w:rsidRDefault="00B63929">
      <w:pPr>
        <w:ind w:firstLine="540"/>
        <w:jc w:val="both"/>
        <w:rPr>
          <w:lang w:eastAsia="en-US"/>
        </w:rPr>
      </w:pPr>
      <w:r>
        <w:rPr>
          <w:lang w:eastAsia="en-US"/>
        </w:rPr>
        <w:t xml:space="preserve"> Заявитель не допускается к участию в аукционе в следующих случаях:</w:t>
      </w:r>
    </w:p>
    <w:p w:rsidR="00B63929" w:rsidRDefault="00B63929">
      <w:pPr>
        <w:ind w:firstLine="540"/>
        <w:contextualSpacing/>
        <w:jc w:val="both"/>
        <w:rPr>
          <w:lang w:eastAsia="en-US"/>
        </w:rPr>
      </w:pPr>
      <w:r>
        <w:rPr>
          <w:lang w:eastAsia="en-US"/>
        </w:rPr>
        <w:t>а) непредставление необходимых для участия в аукционе документов или представление недостоверных сведений;</w:t>
      </w:r>
    </w:p>
    <w:p w:rsidR="00B63929" w:rsidRDefault="00B63929">
      <w:pPr>
        <w:ind w:firstLine="540"/>
        <w:contextualSpacing/>
        <w:jc w:val="both"/>
        <w:rPr>
          <w:lang w:eastAsia="en-US"/>
        </w:rPr>
      </w:pPr>
      <w:r>
        <w:rPr>
          <w:lang w:eastAsia="en-US"/>
        </w:rPr>
        <w:t>б) непоступление задатка на дату рассмотрения заявок на участие в аукционе;</w:t>
      </w:r>
    </w:p>
    <w:p w:rsidR="00B63929" w:rsidRDefault="00B63929">
      <w:pPr>
        <w:ind w:firstLine="540"/>
        <w:contextualSpacing/>
        <w:jc w:val="both"/>
        <w:rPr>
          <w:lang w:eastAsia="en-US"/>
        </w:rPr>
      </w:pPr>
      <w:r>
        <w:rPr>
          <w:lang w:eastAsia="en-US"/>
        </w:rPr>
        <w:t>в) подача заявки лицом, не уполномоченным на осуществление таких действий.</w:t>
      </w:r>
    </w:p>
    <w:p w:rsidR="00B63929" w:rsidRDefault="00B63929">
      <w:pPr>
        <w:shd w:val="clear" w:color="auto" w:fill="FFFFFF"/>
        <w:spacing w:before="360" w:after="360"/>
        <w:contextualSpacing/>
        <w:jc w:val="both"/>
        <w:rPr>
          <w:b/>
        </w:rPr>
      </w:pPr>
      <w:r>
        <w:tab/>
      </w:r>
      <w:r>
        <w:rPr>
          <w:b/>
        </w:rPr>
        <w:t>7.</w:t>
      </w:r>
      <w:r>
        <w:t xml:space="preserve"> </w:t>
      </w:r>
      <w:r>
        <w:rPr>
          <w:b/>
        </w:rPr>
        <w:t>Размер задатка, порядок его внесения и возврата, банковские реквизиты счета для перечисления задатка.</w:t>
      </w:r>
    </w:p>
    <w:p w:rsidR="00B63929" w:rsidRDefault="00B63929">
      <w:pPr>
        <w:spacing w:line="276" w:lineRule="auto"/>
        <w:ind w:firstLine="708"/>
        <w:jc w:val="both"/>
        <w:rPr>
          <w:lang w:eastAsia="en-US"/>
        </w:rPr>
      </w:pPr>
      <w:r>
        <w:rPr>
          <w:u w:val="single"/>
          <w:lang w:eastAsia="en-US"/>
        </w:rPr>
        <w:t>Размер задатка (20 % от начальной цены):</w:t>
      </w:r>
      <w:r>
        <w:rPr>
          <w:lang w:eastAsia="en-US"/>
        </w:rPr>
        <w:t xml:space="preserve"> 558 000 (Пятьсот пятьдесят восемь тысяч) рублей. </w:t>
      </w:r>
    </w:p>
    <w:p w:rsidR="00B63929" w:rsidRDefault="00B63929">
      <w:pPr>
        <w:ind w:firstLine="709"/>
        <w:jc w:val="both"/>
        <w:rPr>
          <w:lang w:eastAsia="en-US"/>
        </w:rPr>
      </w:pPr>
      <w:r>
        <w:rPr>
          <w:lang w:eastAsia="en-US"/>
        </w:rPr>
        <w:t>Задаток должен поступить в полном объеме на счет организатора аукциона на дату рассмотрения заявок.</w:t>
      </w:r>
    </w:p>
    <w:p w:rsidR="00B63929" w:rsidRDefault="00B63929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Задаток вносится в валюте Российской Федерации на счет организатора аукциона по следующим реквизитам: </w:t>
      </w:r>
    </w:p>
    <w:p w:rsidR="00B63929" w:rsidRDefault="00B63929">
      <w:pPr>
        <w:tabs>
          <w:tab w:val="left" w:pos="709"/>
          <w:tab w:val="left" w:pos="851"/>
          <w:tab w:val="left" w:pos="2982"/>
        </w:tabs>
        <w:ind w:firstLine="709"/>
        <w:jc w:val="both"/>
      </w:pPr>
      <w:r>
        <w:rPr>
          <w:b/>
          <w:u w:val="single"/>
        </w:rPr>
        <w:t>Банк получателя</w:t>
      </w:r>
      <w:r>
        <w:t xml:space="preserve"> – ОТДЕЛЕНИЕ БАРНАУЛ БАНКА РОССИИ//УФК по Алтайскому краю, г. Барнаул</w:t>
      </w:r>
    </w:p>
    <w:p w:rsidR="00B63929" w:rsidRDefault="00B63929">
      <w:pPr>
        <w:tabs>
          <w:tab w:val="left" w:pos="709"/>
          <w:tab w:val="left" w:pos="851"/>
          <w:tab w:val="left" w:pos="2982"/>
        </w:tabs>
        <w:ind w:firstLine="709"/>
        <w:jc w:val="both"/>
        <w:rPr>
          <w:b/>
          <w:i/>
        </w:rPr>
      </w:pPr>
      <w:r>
        <w:rPr>
          <w:b/>
          <w:u w:val="single"/>
        </w:rPr>
        <w:t xml:space="preserve">БИК </w:t>
      </w:r>
      <w:r>
        <w:rPr>
          <w:b/>
          <w:i/>
        </w:rPr>
        <w:t xml:space="preserve">010173001  </w:t>
      </w:r>
      <w:r>
        <w:rPr>
          <w:b/>
          <w:u w:val="single"/>
        </w:rPr>
        <w:t>ОКТМО</w:t>
      </w:r>
      <w:r>
        <w:rPr>
          <w:b/>
        </w:rPr>
        <w:t xml:space="preserve"> </w:t>
      </w:r>
      <w:r>
        <w:rPr>
          <w:b/>
          <w:i/>
        </w:rPr>
        <w:t>01713000 (указывается при необходимости)</w:t>
      </w:r>
    </w:p>
    <w:p w:rsidR="00B63929" w:rsidRDefault="00B63929">
      <w:pPr>
        <w:tabs>
          <w:tab w:val="left" w:pos="709"/>
          <w:tab w:val="left" w:pos="851"/>
          <w:tab w:val="left" w:pos="2982"/>
        </w:tabs>
        <w:ind w:firstLine="720"/>
        <w:jc w:val="both"/>
        <w:rPr>
          <w:u w:val="single"/>
        </w:rPr>
      </w:pPr>
      <w:r>
        <w:rPr>
          <w:b/>
          <w:u w:val="single"/>
        </w:rPr>
        <w:t>Получатель</w:t>
      </w:r>
      <w:r>
        <w:t xml:space="preserve">        </w:t>
      </w:r>
      <w:r>
        <w:rPr>
          <w:b/>
          <w:u w:val="single"/>
        </w:rPr>
        <w:t>ИНН</w:t>
      </w:r>
      <w:r>
        <w:t xml:space="preserve">           </w:t>
      </w:r>
      <w:r>
        <w:rPr>
          <w:b/>
          <w:i/>
        </w:rPr>
        <w:t xml:space="preserve">2208003389          </w:t>
      </w:r>
      <w:r>
        <w:tab/>
      </w:r>
      <w:r>
        <w:rPr>
          <w:b/>
          <w:u w:val="single"/>
        </w:rPr>
        <w:t>КПП</w:t>
      </w:r>
      <w:r>
        <w:rPr>
          <w:b/>
        </w:rPr>
        <w:t xml:space="preserve"> </w:t>
      </w:r>
      <w:r>
        <w:rPr>
          <w:b/>
          <w:i/>
        </w:rPr>
        <w:t>220801001</w:t>
      </w:r>
    </w:p>
    <w:p w:rsidR="00B63929" w:rsidRDefault="00B63929">
      <w:pPr>
        <w:tabs>
          <w:tab w:val="left" w:pos="4860"/>
        </w:tabs>
        <w:ind w:right="-23" w:firstLine="709"/>
        <w:jc w:val="both"/>
        <w:rPr>
          <w:b/>
          <w:i/>
        </w:rPr>
      </w:pPr>
      <w:r>
        <w:rPr>
          <w:b/>
          <w:u w:val="single"/>
        </w:rPr>
        <w:t>Наименование организации в платежных документах:</w:t>
      </w:r>
      <w:r>
        <w:t xml:space="preserve"> Комитет по финансам налоговой и кредитной политике Администрации города Новоалтайска (Комитет по управлению имуществом Администрации города Новоалтайска л/с </w:t>
      </w:r>
      <w:r>
        <w:rPr>
          <w:b/>
          <w:i/>
        </w:rPr>
        <w:t>05173012000</w:t>
      </w:r>
      <w:r>
        <w:t>)</w:t>
      </w:r>
      <w:r>
        <w:rPr>
          <w:b/>
          <w:i/>
        </w:rPr>
        <w:t>.</w:t>
      </w:r>
    </w:p>
    <w:p w:rsidR="00B63929" w:rsidRDefault="00B63929">
      <w:pPr>
        <w:tabs>
          <w:tab w:val="left" w:pos="4860"/>
        </w:tabs>
        <w:ind w:right="-23" w:firstLine="709"/>
        <w:jc w:val="both"/>
        <w:rPr>
          <w:b/>
          <w:i/>
        </w:rPr>
      </w:pPr>
      <w:r>
        <w:rPr>
          <w:b/>
          <w:u w:val="single"/>
        </w:rPr>
        <w:t>Казначейский счет:</w:t>
      </w:r>
      <w:r>
        <w:rPr>
          <w:b/>
          <w:i/>
        </w:rPr>
        <w:t xml:space="preserve"> 03232643017130001700.</w:t>
      </w:r>
    </w:p>
    <w:p w:rsidR="00B63929" w:rsidRDefault="00B63929">
      <w:pPr>
        <w:tabs>
          <w:tab w:val="left" w:pos="4860"/>
        </w:tabs>
        <w:ind w:right="-23" w:firstLine="709"/>
        <w:jc w:val="both"/>
        <w:rPr>
          <w:b/>
          <w:i/>
        </w:rPr>
      </w:pPr>
      <w:r>
        <w:rPr>
          <w:b/>
          <w:u w:val="single"/>
        </w:rPr>
        <w:t>Банковский счет:</w:t>
      </w:r>
      <w:r>
        <w:rPr>
          <w:b/>
          <w:i/>
        </w:rPr>
        <w:t xml:space="preserve"> 40102810045370000009.</w:t>
      </w:r>
    </w:p>
    <w:p w:rsidR="00B63929" w:rsidRDefault="00B63929">
      <w:pPr>
        <w:ind w:firstLine="539"/>
        <w:jc w:val="both"/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t>В графе «назначение платежа» указывается: перечисляется задаток для участия в аукционе  по продаже объекта незавершенного строительства по адресу: Алтайский край,              г. Новоалтайск, ул. Дорожная, 74/10.</w:t>
      </w:r>
    </w:p>
    <w:p w:rsidR="00B63929" w:rsidRDefault="00B63929">
      <w:pPr>
        <w:ind w:firstLine="708"/>
        <w:jc w:val="both"/>
        <w:rPr>
          <w:lang w:eastAsia="en-US"/>
        </w:rPr>
      </w:pPr>
      <w:r>
        <w:rPr>
          <w:lang w:eastAsia="en-US"/>
        </w:rPr>
        <w:t>Если аукцион не состоялся, полученный задаток подлежит возврату. Задаток, внесенный заявителем, который участвовал в аукционе, но не был признан его победителем, возвращается данному заявителю в течение 5 рабочих дней со дня подписания протокола о результатах аукциона.</w:t>
      </w:r>
    </w:p>
    <w:p w:rsidR="00B63929" w:rsidRDefault="00B63929">
      <w:pPr>
        <w:ind w:firstLine="708"/>
        <w:jc w:val="both"/>
        <w:rPr>
          <w:lang w:eastAsia="en-US"/>
        </w:rPr>
      </w:pPr>
      <w:r>
        <w:rPr>
          <w:lang w:eastAsia="en-US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:rsidR="00B63929" w:rsidRDefault="00B6392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B63929" w:rsidRDefault="00B6392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Документом, подтверждающим поступление задатка на счет организатора аукциона, является выписка из лицевого счета организатора аукциона.</w:t>
      </w:r>
    </w:p>
    <w:p w:rsidR="00B63929" w:rsidRDefault="00B63929">
      <w:pPr>
        <w:ind w:firstLine="708"/>
        <w:jc w:val="both"/>
        <w:rPr>
          <w:b/>
        </w:rPr>
      </w:pPr>
      <w:r>
        <w:rPr>
          <w:b/>
        </w:rPr>
        <w:t>8. Начальная цена  предмета аукциона</w:t>
      </w:r>
    </w:p>
    <w:p w:rsidR="00B63929" w:rsidRDefault="00B63929">
      <w:pPr>
        <w:ind w:firstLine="708"/>
        <w:jc w:val="both"/>
      </w:pPr>
      <w:r>
        <w:t>Начальная цена предмета аукциона составляет 2 790 000 (Два миллиона семьсот девяносто тысяч) рублей, в том числе НДС,  согласно отчету от 25.06.2025 № 896/06.25 об оценке рыночной стоимости недвижимого имущества, выполненному специализированной оценочной компанией ООО «Агентство Оценки».</w:t>
      </w:r>
    </w:p>
    <w:p w:rsidR="00B63929" w:rsidRDefault="00B63929">
      <w:pPr>
        <w:ind w:firstLine="708"/>
        <w:jc w:val="both"/>
        <w:rPr>
          <w:b/>
        </w:rPr>
      </w:pPr>
    </w:p>
    <w:p w:rsidR="00B63929" w:rsidRDefault="00B63929">
      <w:pPr>
        <w:ind w:firstLine="708"/>
        <w:jc w:val="both"/>
        <w:rPr>
          <w:b/>
        </w:rPr>
      </w:pPr>
    </w:p>
    <w:p w:rsidR="00B63929" w:rsidRDefault="00B63929">
      <w:pPr>
        <w:ind w:firstLine="708"/>
        <w:jc w:val="both"/>
        <w:rPr>
          <w:b/>
        </w:rPr>
      </w:pPr>
      <w:r>
        <w:rPr>
          <w:b/>
        </w:rPr>
        <w:t>9. Шаг аукциона</w:t>
      </w:r>
    </w:p>
    <w:p w:rsidR="00B63929" w:rsidRDefault="00B63929">
      <w:pPr>
        <w:ind w:firstLine="708"/>
        <w:jc w:val="both"/>
      </w:pPr>
      <w:r>
        <w:t>Величина повышения начальной цены предмета аукциона (“шаг аукциона” – 1 процент от начальной цены предмета аукциона) составляет 27 900 (Двадцать семь тысяч девятьсот) рублей.</w:t>
      </w:r>
    </w:p>
    <w:p w:rsidR="00B63929" w:rsidRDefault="00B63929">
      <w:pPr>
        <w:ind w:firstLine="708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10. Форма договора купли-продажи (приложение № 2 к извещению).</w:t>
      </w:r>
    </w:p>
    <w:p w:rsidR="00B63929" w:rsidRDefault="00B63929">
      <w:pPr>
        <w:jc w:val="both"/>
        <w:rPr>
          <w:lang w:eastAsia="en-US"/>
        </w:rPr>
      </w:pPr>
      <w:r>
        <w:rPr>
          <w:lang w:eastAsia="en-US"/>
        </w:rPr>
        <w:tab/>
        <w:t xml:space="preserve">Покупатель в течение 10 рабочих дней после государственной регистрации перехода права собственности на объект незавершенного строительства обращается с заявлением о заключении договора аренды на земельный участок, на котором расположен приобретенный объект незавершенного строительства. Срок договора аренды земельного участка определяется в соответствии с </w:t>
      </w:r>
      <w:hyperlink r:id="rId7" w:tooltip="consultantplus://offline/ref=85243499A938C88DE27FEA40E17A0A2E1679A6410A51E088116534D4B7A874240DC1ADD3D74D60D649F0C7B340253061C28FEBBEFC51e4J" w:history="1">
        <w:r>
          <w:rPr>
            <w:lang w:eastAsia="en-US"/>
          </w:rPr>
          <w:t>пунктом 5 статьи 39.6,</w:t>
        </w:r>
      </w:hyperlink>
      <w:r>
        <w:t xml:space="preserve"> </w:t>
      </w:r>
      <w:r>
        <w:rPr>
          <w:lang w:eastAsia="en-US"/>
        </w:rPr>
        <w:t>п.п. 6 п.8 ст. 39.8 Земельного кодекса Российской Федерации.</w:t>
      </w:r>
    </w:p>
    <w:p w:rsidR="00B63929" w:rsidRDefault="00B63929">
      <w:pPr>
        <w:tabs>
          <w:tab w:val="left" w:pos="720"/>
        </w:tabs>
        <w:ind w:firstLine="720"/>
        <w:jc w:val="both"/>
        <w:rPr>
          <w:lang w:eastAsia="en-US"/>
        </w:rPr>
      </w:pPr>
      <w:r>
        <w:rPr>
          <w:lang w:eastAsia="en-US"/>
        </w:rPr>
        <w:t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:rsidR="00B63929" w:rsidRDefault="00B63929">
      <w:pPr>
        <w:ind w:firstLine="708"/>
        <w:jc w:val="both"/>
        <w:rPr>
          <w:lang w:eastAsia="en-US"/>
        </w:rPr>
      </w:pPr>
      <w:r>
        <w:rPr>
          <w:lang w:eastAsia="en-US"/>
        </w:rPr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:rsidR="00B63929" w:rsidRDefault="00B63929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Средства, полученные от продажи на аукционе объекта незавершенного строительства, вносятся в сроки и на счет организатора аукциона, указанные в договоре купли-продажи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 (затраты организатора аукциона на определение начальной цены предмета аукциона, опубликование информационного сообщения о проведении аукциона в периодическом печатном издании). </w:t>
      </w:r>
    </w:p>
    <w:p w:rsidR="00B63929" w:rsidRDefault="00B63929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B63929" w:rsidRDefault="00B63929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B63929" w:rsidRDefault="00B63929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B63929" w:rsidRDefault="00B63929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B63929" w:rsidRDefault="00B63929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B63929" w:rsidRDefault="00B63929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B63929" w:rsidRDefault="00B63929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B63929" w:rsidRDefault="00B63929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B63929" w:rsidRDefault="00B63929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B63929" w:rsidRDefault="00B63929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sectPr w:rsidR="00B63929" w:rsidSect="00CF0D66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929" w:rsidRDefault="00B63929">
      <w:r>
        <w:separator/>
      </w:r>
    </w:p>
  </w:endnote>
  <w:endnote w:type="continuationSeparator" w:id="0">
    <w:p w:rsidR="00B63929" w:rsidRDefault="00B63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929" w:rsidRDefault="00B63929">
      <w:r>
        <w:separator/>
      </w:r>
    </w:p>
  </w:footnote>
  <w:footnote w:type="continuationSeparator" w:id="0">
    <w:p w:rsidR="00B63929" w:rsidRDefault="00B63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831"/>
    <w:multiLevelType w:val="multilevel"/>
    <w:tmpl w:val="4DCAC74E"/>
    <w:lvl w:ilvl="0">
      <w:start w:val="1"/>
      <w:numFmt w:val="decimal"/>
      <w:suff w:val="space"/>
      <w:lvlText w:val="Глава %1."/>
      <w:lvlJc w:val="center"/>
      <w:pPr>
        <w:ind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lvlRestart w:val="0"/>
      <w:suff w:val="space"/>
      <w:lvlText w:val="Статья %2."/>
      <w:lvlJc w:val="center"/>
      <w:pPr>
        <w:ind w:left="1033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suff w:val="space"/>
      <w:lvlText w:val="Статья %2.%3."/>
      <w:lvlJc w:val="center"/>
      <w:pPr>
        <w:ind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615250A9"/>
    <w:multiLevelType w:val="hybridMultilevel"/>
    <w:tmpl w:val="FFFFFFFF"/>
    <w:lvl w:ilvl="0" w:tplc="3790FFF2">
      <w:start w:val="8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B2527E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00A8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5AB3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C8B7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1C52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3A0A6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AEBD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DA37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601E1F"/>
    <w:multiLevelType w:val="hybridMultilevel"/>
    <w:tmpl w:val="FFFFFFFF"/>
    <w:lvl w:ilvl="0" w:tplc="7C32282C">
      <w:start w:val="1"/>
      <w:numFmt w:val="decimal"/>
      <w:lvlText w:val="%1."/>
      <w:lvlJc w:val="left"/>
      <w:pPr>
        <w:ind w:left="967" w:hanging="360"/>
      </w:pPr>
      <w:rPr>
        <w:rFonts w:cs="Times New Roman" w:hint="default"/>
      </w:rPr>
    </w:lvl>
    <w:lvl w:ilvl="1" w:tplc="8B02664A">
      <w:start w:val="1"/>
      <w:numFmt w:val="lowerLetter"/>
      <w:lvlText w:val="%2."/>
      <w:lvlJc w:val="left"/>
      <w:pPr>
        <w:ind w:left="1687" w:hanging="360"/>
      </w:pPr>
      <w:rPr>
        <w:rFonts w:cs="Times New Roman"/>
      </w:rPr>
    </w:lvl>
    <w:lvl w:ilvl="2" w:tplc="B7DAC1F0">
      <w:start w:val="1"/>
      <w:numFmt w:val="lowerRoman"/>
      <w:lvlText w:val="%3."/>
      <w:lvlJc w:val="right"/>
      <w:pPr>
        <w:ind w:left="2407" w:hanging="180"/>
      </w:pPr>
      <w:rPr>
        <w:rFonts w:cs="Times New Roman"/>
      </w:rPr>
    </w:lvl>
    <w:lvl w:ilvl="3" w:tplc="90DE13B6">
      <w:start w:val="1"/>
      <w:numFmt w:val="decimal"/>
      <w:lvlText w:val="%4."/>
      <w:lvlJc w:val="left"/>
      <w:pPr>
        <w:ind w:left="3127" w:hanging="360"/>
      </w:pPr>
      <w:rPr>
        <w:rFonts w:cs="Times New Roman"/>
      </w:rPr>
    </w:lvl>
    <w:lvl w:ilvl="4" w:tplc="8FB24278">
      <w:start w:val="1"/>
      <w:numFmt w:val="lowerLetter"/>
      <w:lvlText w:val="%5."/>
      <w:lvlJc w:val="left"/>
      <w:pPr>
        <w:ind w:left="3847" w:hanging="360"/>
      </w:pPr>
      <w:rPr>
        <w:rFonts w:cs="Times New Roman"/>
      </w:rPr>
    </w:lvl>
    <w:lvl w:ilvl="5" w:tplc="7E40D700">
      <w:start w:val="1"/>
      <w:numFmt w:val="lowerRoman"/>
      <w:lvlText w:val="%6."/>
      <w:lvlJc w:val="right"/>
      <w:pPr>
        <w:ind w:left="4567" w:hanging="180"/>
      </w:pPr>
      <w:rPr>
        <w:rFonts w:cs="Times New Roman"/>
      </w:rPr>
    </w:lvl>
    <w:lvl w:ilvl="6" w:tplc="B0E025F0">
      <w:start w:val="1"/>
      <w:numFmt w:val="decimal"/>
      <w:lvlText w:val="%7."/>
      <w:lvlJc w:val="left"/>
      <w:pPr>
        <w:ind w:left="5287" w:hanging="360"/>
      </w:pPr>
      <w:rPr>
        <w:rFonts w:cs="Times New Roman"/>
      </w:rPr>
    </w:lvl>
    <w:lvl w:ilvl="7" w:tplc="D046C162">
      <w:start w:val="1"/>
      <w:numFmt w:val="lowerLetter"/>
      <w:lvlText w:val="%8."/>
      <w:lvlJc w:val="left"/>
      <w:pPr>
        <w:ind w:left="6007" w:hanging="360"/>
      </w:pPr>
      <w:rPr>
        <w:rFonts w:cs="Times New Roman"/>
      </w:rPr>
    </w:lvl>
    <w:lvl w:ilvl="8" w:tplc="74E856C8">
      <w:start w:val="1"/>
      <w:numFmt w:val="lowerRoman"/>
      <w:lvlText w:val="%9."/>
      <w:lvlJc w:val="right"/>
      <w:pPr>
        <w:ind w:left="67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D66"/>
    <w:rsid w:val="001B7CEF"/>
    <w:rsid w:val="002A28EE"/>
    <w:rsid w:val="004C6DE6"/>
    <w:rsid w:val="006F16F2"/>
    <w:rsid w:val="006F5A45"/>
    <w:rsid w:val="007045F0"/>
    <w:rsid w:val="008E3B65"/>
    <w:rsid w:val="0094370D"/>
    <w:rsid w:val="009801CD"/>
    <w:rsid w:val="009B4893"/>
    <w:rsid w:val="00B63929"/>
    <w:rsid w:val="00BF0988"/>
    <w:rsid w:val="00CF0D66"/>
    <w:rsid w:val="00E8780C"/>
    <w:rsid w:val="00F1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F0D6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0D66"/>
    <w:pPr>
      <w:keepNext/>
      <w:keepLines/>
      <w:spacing w:before="480" w:after="200"/>
      <w:outlineLvl w:val="0"/>
    </w:pPr>
    <w:rPr>
      <w:rFonts w:ascii="Arial" w:eastAsia="Calibri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0D66"/>
    <w:pPr>
      <w:keepNext/>
      <w:keepLines/>
      <w:spacing w:before="360" w:after="200"/>
      <w:outlineLvl w:val="1"/>
    </w:pPr>
    <w:rPr>
      <w:rFonts w:ascii="Arial" w:eastAsia="Calibri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0D66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0D6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0D66"/>
    <w:pPr>
      <w:keepNext/>
      <w:keepLines/>
      <w:spacing w:before="320" w:after="200"/>
      <w:outlineLvl w:val="4"/>
    </w:pPr>
    <w:rPr>
      <w:rFonts w:ascii="Arial" w:eastAsia="Calibri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0D66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F0D66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F0D66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0D66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0D66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0D66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F0D66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F0D6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F0D66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F0D66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F0D66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F0D66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F0D66"/>
    <w:rPr>
      <w:rFonts w:ascii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CF0D66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F0D66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F0D66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CF0D66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CF0D66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CF0D66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F0D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F0D66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CF0D6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D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0D6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D66"/>
    <w:rPr>
      <w:rFonts w:cs="Times New Roman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CF0D66"/>
    <w:rPr>
      <w:rFonts w:cs="Times New Roman"/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CF0D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F0D6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F0D6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F0D66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F0D6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F0D6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F0D6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F0D6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F0D6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F0D6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F0D6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F0D6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F0D6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F0D6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F0D6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F0D6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F0D6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F0D6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F0D6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CF0D66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F0D66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CF0D6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F0D66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F0D66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CF0D66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CF0D66"/>
    <w:pPr>
      <w:spacing w:after="57"/>
    </w:pPr>
  </w:style>
  <w:style w:type="paragraph" w:styleId="TOC2">
    <w:name w:val="toc 2"/>
    <w:basedOn w:val="Normal"/>
    <w:next w:val="Normal"/>
    <w:uiPriority w:val="99"/>
    <w:rsid w:val="00CF0D66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CF0D66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CF0D66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CF0D66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CF0D66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CF0D66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CF0D66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CF0D66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CF0D66"/>
    <w:pPr>
      <w:keepNext w:val="0"/>
      <w:keepLines w:val="0"/>
      <w:spacing w:before="0" w:after="0"/>
      <w:outlineLvl w:val="9"/>
    </w:pPr>
    <w:rPr>
      <w:rFonts w:ascii="Calibri" w:hAnsi="Calibri" w:cs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CF0D66"/>
  </w:style>
  <w:style w:type="paragraph" w:styleId="Caption">
    <w:name w:val="caption"/>
    <w:basedOn w:val="Normal"/>
    <w:link w:val="CaptionChar"/>
    <w:uiPriority w:val="99"/>
    <w:qFormat/>
    <w:rsid w:val="00CF0D66"/>
    <w:pPr>
      <w:jc w:val="center"/>
    </w:pPr>
    <w:rPr>
      <w:b/>
      <w:sz w:val="28"/>
    </w:rPr>
  </w:style>
  <w:style w:type="paragraph" w:styleId="BodyText">
    <w:name w:val="Body Text"/>
    <w:basedOn w:val="Normal"/>
    <w:link w:val="BodyTextChar"/>
    <w:uiPriority w:val="99"/>
    <w:rsid w:val="00CF0D66"/>
    <w:pPr>
      <w:jc w:val="both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F0D66"/>
    <w:rPr>
      <w:rFonts w:ascii="Arial" w:hAnsi="Arial" w:cs="Times New Roman"/>
      <w:sz w:val="24"/>
      <w:szCs w:val="24"/>
      <w:lang w:val="en-US" w:eastAsia="ru-RU"/>
    </w:rPr>
  </w:style>
  <w:style w:type="paragraph" w:styleId="BodyText2">
    <w:name w:val="Body Text 2"/>
    <w:basedOn w:val="Normal"/>
    <w:link w:val="BodyText2Char"/>
    <w:uiPriority w:val="99"/>
    <w:rsid w:val="00CF0D66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F0D66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F0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D6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F0D66"/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CF0D6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F0D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F0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F0D66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0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F0D66"/>
    <w:rPr>
      <w:b/>
      <w:bCs/>
    </w:rPr>
  </w:style>
  <w:style w:type="paragraph" w:styleId="ListParagraph">
    <w:name w:val="List Paragraph"/>
    <w:basedOn w:val="Normal"/>
    <w:uiPriority w:val="99"/>
    <w:qFormat/>
    <w:rsid w:val="00CF0D66"/>
    <w:pPr>
      <w:ind w:left="720"/>
      <w:contextualSpacing/>
    </w:pPr>
  </w:style>
  <w:style w:type="paragraph" w:styleId="NormalWeb">
    <w:name w:val="Normal (Web)"/>
    <w:basedOn w:val="Normal"/>
    <w:uiPriority w:val="99"/>
    <w:rsid w:val="00CF0D66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CF0D66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CF0D66"/>
    <w:rPr>
      <w:rFonts w:eastAsia="Times New Roman"/>
      <w:lang w:eastAsia="en-US"/>
    </w:rPr>
  </w:style>
  <w:style w:type="paragraph" w:customStyle="1" w:styleId="S">
    <w:name w:val="S_Обычный жирный"/>
    <w:basedOn w:val="Normal"/>
    <w:uiPriority w:val="99"/>
    <w:rsid w:val="00CF0D66"/>
    <w:pPr>
      <w:ind w:firstLine="709"/>
      <w:jc w:val="both"/>
    </w:pPr>
    <w:rPr>
      <w:sz w:val="28"/>
      <w:szCs w:val="28"/>
    </w:rPr>
  </w:style>
  <w:style w:type="paragraph" w:customStyle="1" w:styleId="a">
    <w:name w:val="Знак"/>
    <w:basedOn w:val="Normal"/>
    <w:uiPriority w:val="99"/>
    <w:rsid w:val="00CF0D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uiPriority w:val="99"/>
    <w:rsid w:val="00CF0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243499A938C88DE27FEA40E17A0A2E1679A6410A51E088116534D4B7A874240DC1ADD3D74D60D649F0C7B340253061C28FEBBEFC51e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9</Pages>
  <Words>3615</Words>
  <Characters>20607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Тычинская</cp:lastModifiedBy>
  <cp:revision>424</cp:revision>
  <dcterms:created xsi:type="dcterms:W3CDTF">2010-07-23T04:50:00Z</dcterms:created>
  <dcterms:modified xsi:type="dcterms:W3CDTF">2025-07-21T04:05:00Z</dcterms:modified>
</cp:coreProperties>
</file>