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1D" w:rsidRDefault="002D68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681D" w:rsidRDefault="002D681D">
      <w:pPr>
        <w:pStyle w:val="ConsPlusTitle"/>
        <w:jc w:val="center"/>
      </w:pPr>
    </w:p>
    <w:p w:rsidR="002D681D" w:rsidRDefault="002D681D">
      <w:pPr>
        <w:pStyle w:val="ConsPlusTitle"/>
        <w:jc w:val="center"/>
      </w:pPr>
      <w:r>
        <w:t>РАСПОРЯЖЕНИЕ</w:t>
      </w:r>
    </w:p>
    <w:p w:rsidR="002D681D" w:rsidRDefault="002D681D">
      <w:pPr>
        <w:pStyle w:val="ConsPlusTitle"/>
        <w:jc w:val="center"/>
      </w:pPr>
      <w:r>
        <w:t>от 17 апреля 2019 г. N 768-р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2. Рекомендовать: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4. Минэкономразвития России: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2D681D" w:rsidRDefault="002D681D">
      <w:pPr>
        <w:pStyle w:val="ConsPlusNormal"/>
        <w:spacing w:before="240"/>
        <w:ind w:firstLine="540"/>
        <w:jc w:val="both"/>
      </w:pPr>
      <w:hyperlink r:id="rId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2D681D" w:rsidRDefault="002D681D">
      <w:pPr>
        <w:pStyle w:val="ConsPlusNormal"/>
        <w:spacing w:before="240"/>
        <w:ind w:firstLine="540"/>
        <w:jc w:val="both"/>
      </w:pP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jc w:val="right"/>
      </w:pPr>
      <w:r>
        <w:t>Председатель Правительства</w:t>
      </w:r>
    </w:p>
    <w:p w:rsidR="002D681D" w:rsidRDefault="002D681D">
      <w:pPr>
        <w:pStyle w:val="ConsPlusNormal"/>
        <w:jc w:val="right"/>
      </w:pPr>
      <w:r>
        <w:t>Российской Федерации</w:t>
      </w:r>
    </w:p>
    <w:p w:rsidR="002D681D" w:rsidRDefault="002D681D">
      <w:pPr>
        <w:pStyle w:val="ConsPlusNormal"/>
        <w:jc w:val="right"/>
      </w:pPr>
      <w:r>
        <w:t>Д.МЕДВЕДЕВ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rPr>
          <w:rFonts w:eastAsiaTheme="minorEastAsia"/>
          <w:szCs w:val="22"/>
        </w:rPr>
      </w:pPr>
      <w:r>
        <w:br w:type="page"/>
      </w:r>
    </w:p>
    <w:p w:rsidR="002D681D" w:rsidRDefault="002D681D">
      <w:pPr>
        <w:pStyle w:val="ConsPlusNormal"/>
        <w:jc w:val="right"/>
        <w:outlineLvl w:val="0"/>
      </w:pPr>
      <w:r>
        <w:lastRenderedPageBreak/>
        <w:t>Утвержден</w:t>
      </w:r>
    </w:p>
    <w:p w:rsidR="002D681D" w:rsidRDefault="002D681D">
      <w:pPr>
        <w:pStyle w:val="ConsPlusNormal"/>
        <w:jc w:val="right"/>
      </w:pPr>
      <w:r>
        <w:t>распоряжением Правительства</w:t>
      </w:r>
    </w:p>
    <w:p w:rsidR="002D681D" w:rsidRDefault="002D681D">
      <w:pPr>
        <w:pStyle w:val="ConsPlusNormal"/>
        <w:jc w:val="right"/>
      </w:pPr>
      <w:r>
        <w:t>Российской Федерации</w:t>
      </w:r>
    </w:p>
    <w:p w:rsidR="002D681D" w:rsidRDefault="002D681D">
      <w:pPr>
        <w:pStyle w:val="ConsPlusNormal"/>
        <w:jc w:val="right"/>
      </w:pPr>
      <w:r>
        <w:t>от 17 апреля 2019 г. N 768-р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</w:pPr>
      <w:bookmarkStart w:id="0" w:name="P32"/>
      <w:bookmarkEnd w:id="0"/>
      <w:r>
        <w:t>СТАНДАРТ</w:t>
      </w:r>
    </w:p>
    <w:p w:rsidR="002D681D" w:rsidRDefault="002D681D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I. Общие положения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6">
        <w:r>
          <w:rPr>
            <w:color w:val="0000FF"/>
          </w:rPr>
          <w:t>пункта 7</w:t>
        </w:r>
      </w:hyperlink>
      <w:r>
        <w:t xml:space="preserve"> и </w:t>
      </w:r>
      <w:hyperlink r:id="rId7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2. Целями стандарта являются: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 xml:space="preserve"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</w:t>
      </w:r>
      <w:r>
        <w:lastRenderedPageBreak/>
        <w:t>которой такая возможность либо целесообразность отсутствует.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3. Принципами внедрения стандарта являются: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</w:t>
      </w:r>
      <w:r>
        <w:lastRenderedPageBreak/>
        <w:t>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10. Уполномоченный орган осуществляет следующие полномочия: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а) формирует с участием органов исполнительной власти субъекта Российской </w:t>
      </w:r>
      <w:r>
        <w:lastRenderedPageBreak/>
        <w:t>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2D681D" w:rsidRDefault="002D681D">
      <w:pPr>
        <w:pStyle w:val="ConsPlusTitle"/>
        <w:jc w:val="center"/>
      </w:pPr>
      <w:r>
        <w:t>на заседаниях коллегиального органа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результаты и анализ результатов мониторинга.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D681D" w:rsidRDefault="002D681D">
      <w:pPr>
        <w:pStyle w:val="ConsPlusNormal"/>
        <w:spacing w:before="24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г) представители комиссии по проведению административной реформы в субъекте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г) представителей территориальных учреждений Центрального банка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б) информация территориальных органов Федеральной антимонопольной службы, в </w:t>
      </w:r>
      <w:r>
        <w:lastRenderedPageBreak/>
        <w:t>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е) результаты аналитических исследований и опросов субъектов предпринимательской деятельности, экспертов, потребителей товаров, работ, услуг, </w:t>
      </w:r>
      <w:proofErr w:type="spellStart"/>
      <w:r>
        <w:t>саморегулируемых</w:t>
      </w:r>
      <w:proofErr w:type="spellEnd"/>
      <w:r>
        <w:t xml:space="preserve">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V. Разработка "дорожной карты"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28. При разработке и реализации "дорожной карты", а также при внесении в нее изменений осуществляются: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увеличение количества участников закупок из числа субъектов малого и среднего </w:t>
      </w:r>
      <w:r>
        <w:lastRenderedPageBreak/>
        <w:t>предпринимательства;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8">
        <w:r>
          <w:rPr>
            <w:color w:val="0000FF"/>
          </w:rPr>
          <w:t>статьям 15</w:t>
        </w:r>
      </w:hyperlink>
      <w:r>
        <w:t xml:space="preserve"> и </w:t>
      </w:r>
      <w:hyperlink r:id="rId9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0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</w:t>
      </w:r>
      <w:r>
        <w:lastRenderedPageBreak/>
        <w:t>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е) на создание условий для </w:t>
      </w:r>
      <w:proofErr w:type="spellStart"/>
      <w:r>
        <w:t>недискриминационного</w:t>
      </w:r>
      <w:proofErr w:type="spellEnd"/>
      <w:r>
        <w:t xml:space="preserve"> доступа хозяйствующих субъектов на товарные рынки;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на содействие развитию практики применения механизмов государственно-частного и </w:t>
      </w:r>
      <w:proofErr w:type="spellStart"/>
      <w:r>
        <w:t>муниципально-частного</w:t>
      </w:r>
      <w:proofErr w:type="spellEnd"/>
      <w:r>
        <w:t xml:space="preserve">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</w:t>
      </w:r>
      <w:r>
        <w:lastRenderedPageBreak/>
        <w:t>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н</w:t>
      </w:r>
      <w:proofErr w:type="spellEnd"/>
      <w:r>
        <w:t>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proofErr w:type="spellStart"/>
      <w:r>
        <w:t>www.torgi.gov.ru</w:t>
      </w:r>
      <w:proofErr w:type="spellEnd"/>
      <w:r>
        <w:t>) и на официальном сайте уполномоченного органа в сети "Интернет";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п</w:t>
      </w:r>
      <w:proofErr w:type="spellEnd"/>
      <w:r>
        <w:t>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р</w:t>
      </w:r>
      <w:proofErr w:type="spellEnd"/>
      <w:r>
        <w:t>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</w:t>
      </w:r>
      <w:proofErr w:type="spellStart"/>
      <w:r>
        <w:t>Интернешнл</w:t>
      </w:r>
      <w:proofErr w:type="spellEnd"/>
      <w:r>
        <w:t xml:space="preserve">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ф</w:t>
      </w:r>
      <w:proofErr w:type="spellEnd"/>
      <w:r>
        <w:t xml:space="preserve">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</w:t>
      </w:r>
      <w:r>
        <w:lastRenderedPageBreak/>
        <w:t xml:space="preserve">населения субъекта Российской Федерации, прошедшего обучение по повышению финансовой грамотности в рамках </w:t>
      </w:r>
      <w:hyperlink r:id="rId12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х</w:t>
      </w:r>
      <w:proofErr w:type="spellEnd"/>
      <w:r>
        <w:t>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ц</w:t>
      </w:r>
      <w:proofErr w:type="spellEnd"/>
      <w:r>
        <w:t>) на повышение доступности финансовых услуг для субъектов экономической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ш</w:t>
      </w:r>
      <w:proofErr w:type="spellEnd"/>
      <w:r>
        <w:t>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щ</w:t>
      </w:r>
      <w:proofErr w:type="spellEnd"/>
      <w:r>
        <w:t>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ы</w:t>
      </w:r>
      <w:proofErr w:type="spellEnd"/>
      <w:r>
        <w:t>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31. "Дорожная карта" должна содержать следующую информацию: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VI. Проведение мониторинга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2D681D" w:rsidRDefault="002D681D">
      <w:pPr>
        <w:pStyle w:val="ConsPlusNormal"/>
        <w:spacing w:before="24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</w:t>
      </w:r>
      <w:r>
        <w:lastRenderedPageBreak/>
        <w:t>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сбор данных о возможностях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формирование перечня товарных рынков, на которых присутствуют субъекты естественных монополий;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</w:t>
      </w:r>
      <w:r>
        <w:lastRenderedPageBreak/>
        <w:t>их качеством, доступностью, стоимостью и др.;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мониторинг цен (с учетом динамики) на товары, входящие в </w:t>
      </w:r>
      <w:hyperlink r:id="rId13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и) мониторинг </w:t>
      </w:r>
      <w:proofErr w:type="spellStart"/>
      <w:r>
        <w:t>логистических</w:t>
      </w:r>
      <w:proofErr w:type="spellEnd"/>
      <w:r>
        <w:t xml:space="preserve"> возможностей субъекта Российской Федерации с учетом </w:t>
      </w:r>
      <w:proofErr w:type="spellStart"/>
      <w:r>
        <w:t>логистических</w:t>
      </w:r>
      <w:proofErr w:type="spellEnd"/>
      <w:r>
        <w:t xml:space="preserve"> возможностей субъектов Российской Федерации, имеющих с ним общие территориальные границы, включающий сбор и анализ данных об обеспеченности </w:t>
      </w:r>
      <w:r>
        <w:lastRenderedPageBreak/>
        <w:t xml:space="preserve">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</w:t>
      </w:r>
      <w:r>
        <w:lastRenderedPageBreak/>
        <w:t>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2D681D" w:rsidRDefault="002D681D">
      <w:pPr>
        <w:pStyle w:val="ConsPlusNormal"/>
        <w:spacing w:before="24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данные по ожидаемому потребителями темпу роста цен;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</w:t>
      </w:r>
      <w:proofErr w:type="spellStart"/>
      <w:r>
        <w:t>среднероссийским</w:t>
      </w:r>
      <w:proofErr w:type="spellEnd"/>
      <w:r>
        <w:t xml:space="preserve"> уровнем;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</w:t>
      </w:r>
      <w:hyperlink r:id="rId14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в) удовлетворенности потребителей качеством товаров, работ, услуг на товарных </w:t>
      </w:r>
      <w:r>
        <w:lastRenderedPageBreak/>
        <w:t>рынках субъекта Российской Федерации, а также состоянием ценовой конкуренции;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иные критерии.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д</w:t>
      </w:r>
      <w:proofErr w:type="spellEnd"/>
      <w:r>
        <w:t>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</w:t>
      </w:r>
      <w:r>
        <w:lastRenderedPageBreak/>
        <w:t>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достигнутых показателей в общем количестве показателей;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выполненных мероприятий в общем количестве мероприятий;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2D681D" w:rsidRDefault="002D681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5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</w:t>
      </w:r>
      <w:r>
        <w:lastRenderedPageBreak/>
        <w:t>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2D681D" w:rsidRDefault="002D681D">
      <w:pPr>
        <w:pStyle w:val="ConsPlusNormal"/>
        <w:spacing w:before="24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lastRenderedPageBreak/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</w:t>
      </w:r>
      <w:proofErr w:type="spellStart"/>
      <w:r>
        <w:t>интернет-портале</w:t>
      </w:r>
      <w:proofErr w:type="spellEnd"/>
      <w:r>
        <w:t>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</w:t>
      </w:r>
      <w:r>
        <w:lastRenderedPageBreak/>
        <w:t>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2D681D" w:rsidRDefault="002D681D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2D681D" w:rsidRDefault="002D681D">
      <w:pPr>
        <w:pStyle w:val="ConsPlusTitle"/>
        <w:jc w:val="center"/>
      </w:pPr>
      <w:r>
        <w:t>работ, услуг о состоянии конкуренции и деятельности</w:t>
      </w:r>
    </w:p>
    <w:p w:rsidR="002D681D" w:rsidRDefault="002D681D">
      <w:pPr>
        <w:pStyle w:val="ConsPlusTitle"/>
        <w:jc w:val="center"/>
      </w:pPr>
      <w:r>
        <w:t>по содействию развитию конкуренции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об инвестиционной деятельности в субъекте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58. </w:t>
      </w:r>
      <w:proofErr w:type="gramStart"/>
      <w:r>
        <w:t xml:space="preserve"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</w:t>
      </w:r>
      <w:proofErr w:type="spellStart"/>
      <w:r>
        <w:t>интернет-портале</w:t>
      </w:r>
      <w:proofErr w:type="spellEnd"/>
      <w:proofErr w:type="gramEnd"/>
      <w:r>
        <w:t>: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lastRenderedPageBreak/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2D681D" w:rsidRDefault="002D681D">
      <w:pPr>
        <w:pStyle w:val="ConsPlusNormal"/>
        <w:spacing w:before="24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2D681D" w:rsidRDefault="002D681D">
      <w:pPr>
        <w:pStyle w:val="ConsPlusNormal"/>
        <w:spacing w:before="24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D681D" w:rsidRDefault="002D681D">
      <w:pPr>
        <w:pStyle w:val="ConsPlusNormal"/>
        <w:spacing w:before="24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ind w:firstLine="540"/>
        <w:jc w:val="both"/>
      </w:pPr>
    </w:p>
    <w:p w:rsidR="002D681D" w:rsidRDefault="002D681D">
      <w:pPr>
        <w:pStyle w:val="ConsPlusNormal"/>
        <w:jc w:val="right"/>
        <w:outlineLvl w:val="1"/>
      </w:pPr>
      <w:r>
        <w:t>Приложение</w:t>
      </w:r>
    </w:p>
    <w:p w:rsidR="002D681D" w:rsidRDefault="002D681D">
      <w:pPr>
        <w:pStyle w:val="ConsPlusNormal"/>
        <w:jc w:val="right"/>
      </w:pPr>
      <w:r>
        <w:t>к стандарту развития конкуренции</w:t>
      </w:r>
    </w:p>
    <w:p w:rsidR="002D681D" w:rsidRDefault="002D681D">
      <w:pPr>
        <w:pStyle w:val="ConsPlusNormal"/>
        <w:jc w:val="right"/>
      </w:pPr>
      <w:r>
        <w:t>в субъектах Российской Федерации</w:t>
      </w:r>
    </w:p>
    <w:p w:rsidR="002D681D" w:rsidRDefault="002D681D">
      <w:pPr>
        <w:pStyle w:val="ConsPlusNormal"/>
        <w:jc w:val="center"/>
      </w:pPr>
    </w:p>
    <w:p w:rsidR="002D681D" w:rsidRDefault="002D681D">
      <w:pPr>
        <w:pStyle w:val="ConsPlusTitle"/>
        <w:jc w:val="center"/>
      </w:pPr>
      <w:bookmarkStart w:id="5" w:name="P323"/>
      <w:bookmarkEnd w:id="5"/>
      <w:r>
        <w:t>ПЕРЕЧЕНЬ</w:t>
      </w:r>
    </w:p>
    <w:p w:rsidR="002D681D" w:rsidRDefault="002D681D">
      <w:pPr>
        <w:pStyle w:val="ConsPlusTitle"/>
        <w:jc w:val="center"/>
      </w:pPr>
      <w:r>
        <w:t>ТОВАРНЫХ РЫНКОВ ДЛЯ СОДЕЙСТВИЯ РАЗВИТИЮ КОНКУРЕНЦИИ</w:t>
      </w:r>
    </w:p>
    <w:p w:rsidR="002D681D" w:rsidRDefault="002D681D">
      <w:pPr>
        <w:pStyle w:val="ConsPlusTitle"/>
        <w:jc w:val="center"/>
      </w:pPr>
      <w:r>
        <w:t>В СУБЪЕКТЕ РОССИЙСКОЙ ФЕДЕРАЦИИ</w:t>
      </w:r>
    </w:p>
    <w:p w:rsidR="002D681D" w:rsidRDefault="002D68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54"/>
        <w:gridCol w:w="4535"/>
        <w:gridCol w:w="1870"/>
      </w:tblGrid>
      <w:tr w:rsidR="002D681D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681D" w:rsidRDefault="002D681D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D681D" w:rsidRDefault="002D681D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D681D" w:rsidRDefault="002D681D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5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60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Рынок выполнения работ по содержанию и текущему ремонту общего имущества собственников помещений в многоквартирном </w:t>
            </w:r>
            <w:r>
              <w:lastRenderedPageBreak/>
              <w:t>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lastRenderedPageBreak/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50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40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98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Рынок дорожной деятельности (за исключением </w:t>
            </w:r>
            <w:r>
              <w:lastRenderedPageBreak/>
              <w:t>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lastRenderedPageBreak/>
              <w:t xml:space="preserve">доля организаций частной формы собственности в сфере дорожной деятельности (за исключением </w:t>
            </w:r>
            <w:r>
              <w:lastRenderedPageBreak/>
              <w:t>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5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20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80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 xml:space="preserve">доля организаций частной формы собственности на рынке нефтепродуктов, </w:t>
            </w:r>
            <w:r>
              <w:lastRenderedPageBreak/>
              <w:t>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90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70</w:t>
            </w:r>
          </w:p>
        </w:tc>
      </w:tr>
      <w:tr w:rsidR="002D681D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1D" w:rsidRDefault="002D681D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1D" w:rsidRDefault="002D681D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81D" w:rsidRDefault="002D681D">
            <w:pPr>
              <w:pStyle w:val="ConsPlusNormal"/>
              <w:jc w:val="center"/>
            </w:pPr>
            <w:r>
              <w:t>100</w:t>
            </w:r>
          </w:p>
        </w:tc>
      </w:tr>
    </w:tbl>
    <w:p w:rsidR="002D681D" w:rsidRDefault="002D681D">
      <w:pPr>
        <w:pStyle w:val="ConsPlusNormal"/>
        <w:jc w:val="both"/>
      </w:pPr>
    </w:p>
    <w:p w:rsidR="002D681D" w:rsidRDefault="002D681D">
      <w:pPr>
        <w:pStyle w:val="ConsPlusNormal"/>
        <w:jc w:val="both"/>
      </w:pPr>
    </w:p>
    <w:p w:rsidR="002D681D" w:rsidRDefault="002D68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1B" w:rsidRDefault="0043581B"/>
    <w:sectPr w:rsidR="0043581B" w:rsidSect="002D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81D"/>
    <w:rsid w:val="002D681D"/>
    <w:rsid w:val="00337CB2"/>
    <w:rsid w:val="0043581B"/>
    <w:rsid w:val="006F15EB"/>
    <w:rsid w:val="008B5746"/>
    <w:rsid w:val="009A032A"/>
    <w:rsid w:val="00C32002"/>
    <w:rsid w:val="00E812EA"/>
    <w:rsid w:val="00E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5E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F15EB"/>
    <w:pPr>
      <w:keepNext/>
      <w:ind w:left="2160" w:firstLine="2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F15EB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15EB"/>
    <w:rPr>
      <w:rFonts w:cs="Times New Roman"/>
      <w:sz w:val="28"/>
      <w:szCs w:val="28"/>
    </w:rPr>
  </w:style>
  <w:style w:type="character" w:customStyle="1" w:styleId="20">
    <w:name w:val="Заголовок 2 Знак"/>
    <w:link w:val="2"/>
    <w:rsid w:val="006F15EB"/>
    <w:rPr>
      <w:rFonts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F15EB"/>
    <w:rPr>
      <w:rFonts w:cs="Times New Roman"/>
      <w:b/>
      <w:bCs/>
      <w:sz w:val="32"/>
      <w:szCs w:val="32"/>
    </w:rPr>
  </w:style>
  <w:style w:type="paragraph" w:customStyle="1" w:styleId="ConsPlusNormal">
    <w:name w:val="ConsPlusNormal"/>
    <w:rsid w:val="002D681D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2D681D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2D681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28&amp;dst=352" TargetMode="External"/><Relationship Id="rId13" Type="http://schemas.openxmlformats.org/officeDocument/2006/relationships/hyperlink" Target="https://login.consultant.ru/link/?req=doc&amp;base=LAW&amp;n=373044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796&amp;dst=100042" TargetMode="External"/><Relationship Id="rId12" Type="http://schemas.openxmlformats.org/officeDocument/2006/relationships/hyperlink" Target="https://login.consultant.ru/link/?req=doc&amp;base=LAW&amp;n=278903&amp;dst=1000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796&amp;dst=100038" TargetMode="Externa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hyperlink" Target="https://login.consultant.ru/link/?req=doc&amp;base=LAW&amp;n=204838" TargetMode="External"/><Relationship Id="rId15" Type="http://schemas.openxmlformats.org/officeDocument/2006/relationships/hyperlink" Target="https://login.consultant.ru/link/?req=doc&amp;base=LAW&amp;n=204277&amp;dst=100013" TargetMode="External"/><Relationship Id="rId10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hyperlink" Target="https://login.consultant.ru/link/?req=doc&amp;base=LAW&amp;n=204886" TargetMode="External"/><Relationship Id="rId9" Type="http://schemas.openxmlformats.org/officeDocument/2006/relationships/hyperlink" Target="https://login.consultant.ru/link/?req=doc&amp;base=LAW&amp;n=451928&amp;dst=100153" TargetMode="External"/><Relationship Id="rId14" Type="http://schemas.openxmlformats.org/officeDocument/2006/relationships/hyperlink" Target="https://login.consultant.ru/link/?req=doc&amp;base=LAW&amp;n=34795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12607</Words>
  <Characters>71864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AVNilova</dc:creator>
  <cp:lastModifiedBy>AVNilova</cp:lastModifiedBy>
  <cp:revision>1</cp:revision>
  <dcterms:created xsi:type="dcterms:W3CDTF">2024-02-13T04:57:00Z</dcterms:created>
  <dcterms:modified xsi:type="dcterms:W3CDTF">2024-02-13T05:00:00Z</dcterms:modified>
</cp:coreProperties>
</file>