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i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 </w:t>
      </w:r>
      <w:r>
        <w:rPr>
          <w:sz w:val="28"/>
          <w:szCs w:val="28"/>
          <w:u w:val="single"/>
        </w:rPr>
        <w:t xml:space="preserve">Комитета по управлению имуществом Администрации города Новоалтайска </w:t>
      </w:r>
      <w:r>
        <w:rPr>
          <w:i/>
          <w:color w:val="0000ff"/>
          <w:sz w:val="28"/>
          <w:szCs w:val="28"/>
          <w:u w:val="single"/>
        </w:rPr>
      </w:r>
      <w:r>
        <w:rPr>
          <w:i/>
          <w:color w:val="0000ff"/>
          <w:sz w:val="28"/>
          <w:szCs w:val="28"/>
          <w:u w:val="single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</w:t>
      </w:r>
      <w:r>
        <w:rPr>
          <w:rFonts w:ascii="Times New Roman" w:hAnsi="Times New Roman" w:cs="Times New Roman"/>
          <w:sz w:val="28"/>
          <w:szCs w:val="28"/>
        </w:rPr>
        <w:t xml:space="preserve">я общественные обсуждения по рассмотрению схемы расположения земельного участка, на котором расположены многоквартирный дом и иные, входящие в состав такого дома, объекты недвижимого имущества по адресу: Российская федерация, Алтайский край, г. Новоалтайск, ул. 8 микрорайон, 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Схема расположения земельного участка или земельных участков на кадастровом плане территории: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-Кадастровый номер земельного участка: 22:69:020370:1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-Площадь земельного участка: 6106 кв.м. Площадь по данным ЕГРН: 10242 кв.м.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-Местоположение: Российская Федерация, Алтайский край, г. Новоалтайск, </w:t>
        <w:br/>
        <w:t xml:space="preserve">ул. 8 микрорайон, 31.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«14» февраля 2025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«14» февраля 2025 г. по «14» марта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14 февраля 2025 г. по 05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марта 2025г.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«05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» марта 2025г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на адрес электронной почты: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</w:t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nformat"/>
    <w:next w:val="849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0">
    <w:name w:val="Текст выноски"/>
    <w:basedOn w:val="845"/>
    <w:next w:val="850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37</cp:revision>
  <dcterms:created xsi:type="dcterms:W3CDTF">2022-08-11T09:38:00Z</dcterms:created>
  <dcterms:modified xsi:type="dcterms:W3CDTF">2025-02-11T03:28:31Z</dcterms:modified>
  <cp:version>730895</cp:version>
</cp:coreProperties>
</file>