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 </w:t>
      </w:r>
      <w:r>
        <w:rPr>
          <w:i/>
          <w:iCs/>
          <w:sz w:val="28"/>
          <w:szCs w:val="28"/>
          <w:u w:val="single"/>
        </w:rPr>
        <w:t xml:space="preserve">Якимовой Е.А., действующей по доверенности за Блинова С.И.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i/>
          <w:iCs/>
          <w:sz w:val="28"/>
          <w:szCs w:val="28"/>
          <w:u w:val="single"/>
        </w:rPr>
        <w:t xml:space="preserve">по внесению изменений в </w:t>
      </w:r>
      <w:r>
        <w:rPr>
          <w:i/>
          <w:iCs/>
          <w:sz w:val="28"/>
          <w:szCs w:val="28"/>
          <w:u w:val="single"/>
        </w:rPr>
        <w:t xml:space="preserve">проект межевания территории, в границах земельного участка, расположенного в</w:t>
      </w:r>
      <w:r>
        <w:rPr>
          <w:i/>
          <w:iCs/>
          <w:sz w:val="28"/>
          <w:szCs w:val="28"/>
          <w:u w:val="single"/>
        </w:rPr>
        <w:t xml:space="preserve"> Алтайском крае, г. Новоалтайске, </w:t>
      </w:r>
      <w:r>
        <w:rPr>
          <w:i/>
          <w:iCs/>
          <w:sz w:val="28"/>
          <w:szCs w:val="28"/>
          <w:u w:val="single"/>
        </w:rPr>
        <w:t xml:space="preserve">юго-западнее земельного участка по </w:t>
        <w:br/>
        <w:t xml:space="preserve">ул. Спасской, 71.</w:t>
      </w:r>
      <w:r>
        <w:rPr>
          <w:i/>
          <w:iCs/>
          <w:sz w:val="28"/>
          <w:szCs w:val="28"/>
          <w:u w:val="single"/>
        </w:rPr>
      </w:r>
      <w:r>
        <w:rPr>
          <w:bCs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29»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ноября 2024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29» ноября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29» ноября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«13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декабря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860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paragraph" w:styleId="861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4</cp:revision>
  <dcterms:created xsi:type="dcterms:W3CDTF">2024-07-29T07:05:00Z</dcterms:created>
  <dcterms:modified xsi:type="dcterms:W3CDTF">2024-11-20T09:27:01Z</dcterms:modified>
  <cp:version>730895</cp:version>
</cp:coreProperties>
</file>