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Normal"/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Н Ф О Р М А Ц И Я</w:t>
      </w:r>
    </w:p>
    <w:p>
      <w:pPr>
        <w:pStyle w:val="Normal"/>
        <w:spacing w:line="240" w:lineRule="exact"/>
        <w:jc w:val="center"/>
        <w:rPr>
          <w:rFonts w:ascii="PT Astra Serif" w:hAnsi="PT Astra Serif" w:cs="PT Astra Serif"/>
          <w:sz w:val="28"/>
          <w:szCs w:val="28"/>
        </w:rPr>
      </w:pPr>
      <w:r>
        <w:rPr>
          <w:sz w:val="28"/>
          <w:szCs w:val="28"/>
        </w:rPr>
        <w:t xml:space="preserve">о результатах </w:t>
      </w:r>
      <w:r>
        <w:rPr>
          <w:sz w:val="28"/>
          <w:szCs w:val="28"/>
        </w:rPr>
        <w:t xml:space="preserve">внутреннего муниципального финансового контроля и </w:t>
      </w:r>
      <w:r>
        <w:rPr>
          <w:sz w:val="28"/>
          <w:szCs w:val="28"/>
        </w:rPr>
        <w:t xml:space="preserve">контроля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за соблюдением законодательства Российской Федерации </w:t>
      </w:r>
      <w:r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контрактной системе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в сфере закупок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проведенного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Комитет</w:t>
      </w:r>
      <w:r>
        <w:rPr>
          <w:sz w:val="28"/>
          <w:szCs w:val="28"/>
        </w:rPr>
        <w:t xml:space="preserve">ом</w:t>
      </w:r>
      <w:r>
        <w:rPr>
          <w:sz w:val="28"/>
          <w:szCs w:val="28"/>
        </w:rPr>
        <w:t xml:space="preserve"> по финансам, налоговой и кредитной политике Администрации города Новоалтайска </w:t>
      </w:r>
      <w:r>
        <w:rPr>
          <w:sz w:val="28"/>
          <w:szCs w:val="28"/>
        </w:rPr>
        <w:t xml:space="preserve">за 11 месяцев </w:t>
      </w:r>
      <w:r>
        <w:rPr>
          <w:rFonts w:ascii="PT Astra Serif" w:hAnsi="PT Astra Serif" w:cs="PT Astra Serif"/>
          <w:sz w:val="28"/>
          <w:szCs w:val="28"/>
        </w:rPr>
        <w:t xml:space="preserve"> 202</w:t>
      </w:r>
      <w:r>
        <w:rPr>
          <w:rFonts w:ascii="PT Astra Serif" w:hAnsi="PT Astra Serif" w:cs="PT Astra Serif"/>
          <w:sz w:val="28"/>
          <w:szCs w:val="28"/>
        </w:rPr>
        <w:t xml:space="preserve">4</w:t>
      </w:r>
      <w:r>
        <w:rPr>
          <w:rFonts w:ascii="PT Astra Serif" w:hAnsi="PT Astra Serif" w:cs="PT Astra Serif"/>
          <w:sz w:val="28"/>
          <w:szCs w:val="28"/>
        </w:rPr>
        <w:t xml:space="preserve"> год</w:t>
      </w:r>
      <w:r>
        <w:rPr>
          <w:rFonts w:ascii="PT Astra Serif" w:hAnsi="PT Astra Serif" w:cs="PT Astra Serif"/>
          <w:sz w:val="28"/>
          <w:szCs w:val="28"/>
        </w:rPr>
        <w:t xml:space="preserve">а</w:t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Normal"/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Положением о Комитете по финансам, налоговой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и кредитной политике Администрации города Новоалтайска Алтайского края, утвержденным решением НГСД от 15.04.2014 № 21 (в редакции последующих изменений и дополнений), Комитет по финансам, налоговой и кредитной политике Администрации города Алтайского края (далее – Комитет по финансам) осуществл</w:t>
      </w:r>
      <w:r>
        <w:rPr>
          <w:sz w:val="28"/>
          <w:szCs w:val="28"/>
        </w:rPr>
        <w:t xml:space="preserve">ял</w:t>
      </w:r>
      <w:r>
        <w:rPr>
          <w:sz w:val="28"/>
          <w:szCs w:val="28"/>
        </w:rPr>
        <w:t xml:space="preserve"> следующие виды контроля:</w:t>
      </w:r>
    </w:p>
    <w:p>
      <w:pPr>
        <w:pStyle w:val="Normal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1) внутренний муниципальный финансовый контроль:</w:t>
      </w:r>
    </w:p>
    <w:p>
      <w:pPr>
        <w:pStyle w:val="Normal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за соблюдением положений правовых актов, регулирующих бюджетные правоотношения, в том числе устанавливающих требования к бухгалтерскому учету и составлению и представлению бухгалтерской (финансовой) отчетности муниципальных учреждений;</w:t>
      </w:r>
    </w:p>
    <w:p>
      <w:pPr>
        <w:pStyle w:val="Normal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за соблюдением положений правовых актов, обусловливающих публичные нормативные обязательства и обязательства по иным выплатам физическим лицам из бюджета городского округа, формирование доходов </w:t>
        <w:br w:type="textWrapping" w:clear="all"/>
        <w:t xml:space="preserve">и осуществление расходов из бюджета городского округа при управлении </w:t>
        <w:br w:type="textWrapping" w:clear="all"/>
        <w:t xml:space="preserve">и распоряжении муниципальным имуществом и (или) его использовании, </w:t>
        <w:br w:type="textWrapping" w:clear="all"/>
        <w:t xml:space="preserve">а также за соблюдением условий договоров (соглашений) о предоставлении средств из бюджета городского округа, муниципальных контрактов;</w:t>
      </w:r>
    </w:p>
    <w:p>
      <w:pPr>
        <w:pStyle w:val="Normal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за соблюдением условий договоров (соглашений), заключенных в целях исполнения договоров (соглашений) о предоставлении средств из бюджета городского округа, а также в случаях, предусмотренных Бюджетным кодексом Российской Федерации, условий договоров (соглашений), заключенных в целях исполнения муниципальных контрактов;</w:t>
      </w:r>
    </w:p>
    <w:p>
      <w:pPr>
        <w:pStyle w:val="Normal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за достоверностью отчетов о результатах предоставления и (или) использования средств бюджета городского округа (средств, предоставленных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из бюджета городского округа), в том числе отчетов о реализации  муниципальных программ, отчетов об исполнении муниципальных заданий, отчетов о достижении значений показателей результативности предоставления средств из бюджета городского округа;</w:t>
      </w:r>
    </w:p>
    <w:p>
      <w:pPr>
        <w:pStyle w:val="Normal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 сфере закупок, предусмотренный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нужд;</w:t>
      </w:r>
    </w:p>
    <w:p>
      <w:pPr>
        <w:pStyle w:val="Normal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2) контроль за соблюдением законодательства Российской Федерации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и иных нормативных правовых актов о контрактной системе в сфере закупок товаров, работ, услуг для обеспечения государственных и муниципальных нужд </w:t>
        <w:br w:type="textWrapping" w:clear="all"/>
        <w:t xml:space="preserve">(далее – «законодательство о контрактной системе в сфере закупок») посредством проведения плановых и внеплановых проверок;</w:t>
      </w:r>
    </w:p>
    <w:p>
      <w:pPr>
        <w:pStyle w:val="Normal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>
        <w:rPr>
          <w:sz w:val="28"/>
          <w:szCs w:val="28"/>
        </w:rPr>
        <w:t xml:space="preserve">11 месяцев </w:t>
      </w:r>
      <w:r>
        <w:rPr>
          <w:rFonts w:ascii="PT Astra Serif" w:hAnsi="PT Astra Serif" w:cs="PT Astra Serif"/>
          <w:sz w:val="28"/>
          <w:szCs w:val="28"/>
        </w:rPr>
        <w:t xml:space="preserve">202</w:t>
      </w:r>
      <w:r>
        <w:rPr>
          <w:rFonts w:ascii="PT Astra Serif" w:hAnsi="PT Astra Serif" w:cs="PT Astra Serif"/>
          <w:sz w:val="28"/>
          <w:szCs w:val="28"/>
        </w:rPr>
        <w:t xml:space="preserve">4</w:t>
      </w:r>
      <w:r>
        <w:rPr>
          <w:rFonts w:ascii="PT Astra Serif" w:hAnsi="PT Astra Serif" w:cs="PT Astra Serif"/>
          <w:sz w:val="28"/>
          <w:szCs w:val="28"/>
        </w:rPr>
        <w:t xml:space="preserve"> год</w:t>
      </w:r>
      <w:r>
        <w:rPr>
          <w:rFonts w:ascii="PT Astra Serif" w:hAnsi="PT Astra Serif" w:cs="PT Astra Serif"/>
          <w:sz w:val="28"/>
          <w:szCs w:val="28"/>
        </w:rPr>
        <w:t xml:space="preserve">а</w:t>
      </w:r>
      <w:r>
        <w:rPr>
          <w:sz w:val="28"/>
          <w:szCs w:val="28"/>
        </w:rPr>
        <w:t xml:space="preserve"> Комитетом по финансам в рамках осуществления внутреннего муниципального финансового контроля было проведено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к</w:t>
      </w:r>
      <w:r>
        <w:rPr>
          <w:sz w:val="28"/>
          <w:szCs w:val="28"/>
        </w:rPr>
        <w:t xml:space="preserve">онтрольных  мероприятий в отношении муниципальных органов Администрации города и муниципальных бюджетных</w:t>
      </w:r>
      <w:r>
        <w:rPr>
          <w:sz w:val="28"/>
          <w:szCs w:val="28"/>
        </w:rPr>
        <w:t xml:space="preserve"> организаций.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Объем проверенных бюджетных средств составил </w:t>
      </w:r>
      <w:r>
        <w:rPr>
          <w:sz w:val="28"/>
          <w:szCs w:val="28"/>
        </w:rPr>
        <w:t xml:space="preserve">63 902,24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тыс. рублей.</w:t>
      </w:r>
    </w:p>
    <w:p>
      <w:pPr>
        <w:pStyle w:val="Normal"/>
        <w:spacing w:line="24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План контрольных мероприятий Комитета по финансам, а также  внесенные изменения в него, размещаются в единой информационной системе (ЕИС) (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"http://www.zakupki.gov.ru"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>
        <w:rPr>
          <w:rStyle w:val="Hyperlink"/>
          <w:sz w:val="28"/>
          <w:szCs w:val="28"/>
        </w:rPr>
        <w:t xml:space="preserve">www.zakupki.gov.ru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) и на официальном сайте города Новоалтайска </w:t>
      </w:r>
      <w:r>
        <w:rPr>
          <w:sz w:val="28"/>
          <w:szCs w:val="28"/>
        </w:rPr>
        <w:t xml:space="preserve">в разде</w:t>
      </w:r>
      <w:r>
        <w:rPr>
          <w:sz w:val="28"/>
          <w:szCs w:val="28"/>
        </w:rPr>
        <w:t xml:space="preserve">ле «Финансы» подразделе «Контрольная деятельность»</w:t>
      </w:r>
      <w:r>
        <w:rPr>
          <w:sz w:val="28"/>
          <w:szCs w:val="28"/>
        </w:rPr>
        <w:t xml:space="preserve">.</w:t>
      </w:r>
    </w:p>
    <w:p>
      <w:pPr>
        <w:pStyle w:val="Normal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По результатам проведенных контрольных мероприятий Комитетом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по финансам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установленном законодательством порядке и в рамках полномочий контрольных органов, объектам контроля были направлены представлени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, содержащие обязательные для исполнения требования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 устранении выявленных нарушений</w:t>
        <w:tab/>
        <w:t xml:space="preserve"> законодательства, а также о </w:t>
      </w:r>
      <w:r>
        <w:rPr>
          <w:bCs/>
          <w:sz w:val="28"/>
          <w:szCs w:val="28"/>
        </w:rPr>
        <w:t xml:space="preserve">принятии мер по устранению их причин и условий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 установленный представлением срок.</w:t>
      </w:r>
      <w:r>
        <w:rPr>
          <w:sz w:val="28"/>
          <w:szCs w:val="28"/>
        </w:rPr>
      </w:r>
    </w:p>
    <w:p>
      <w:pPr>
        <w:pStyle w:val="Normal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Информация по всем контрольным мероприятиям о нарушениях законодательства, а также подтверждающие такой факт документы, были переданы Комитетом по финансам в прокуратуру города для рассмотрения 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и принятия необходимых мер реагирования.</w:t>
      </w:r>
    </w:p>
    <w:p>
      <w:pPr>
        <w:pStyle w:val="UserStyle_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рамках исполнения полномочий, предусмотренных статьей 160.2-1 Бюджетного кодекса Российской Федерации, Комитетом по финансам </w:t>
      </w:r>
      <w:r>
        <w:rPr>
          <w:sz w:val="28"/>
          <w:szCs w:val="28"/>
        </w:rPr>
        <w:t xml:space="preserve">был </w:t>
      </w:r>
      <w:r>
        <w:rPr>
          <w:sz w:val="28"/>
          <w:szCs w:val="28"/>
        </w:rPr>
        <w:t xml:space="preserve">осуществл</w:t>
      </w:r>
      <w:r>
        <w:rPr>
          <w:sz w:val="28"/>
          <w:szCs w:val="28"/>
        </w:rPr>
        <w:t xml:space="preserve">ен</w:t>
      </w:r>
      <w:r>
        <w:rPr>
          <w:sz w:val="28"/>
          <w:szCs w:val="28"/>
        </w:rPr>
        <w:t xml:space="preserve">  внутренний финансовый аудит в целях оценки надежности внутреннего бюджетного процесса Комитета по финансам  и  подтверждения достоверности бюджетной отчетности и соответствия порядка ведения бюджетного учета единой методологии бюджетного учета. </w:t>
      </w:r>
    </w:p>
    <w:p>
      <w:pPr>
        <w:pStyle w:val="Normal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 отношении главных администраторов средств бюджета городского округа </w:t>
        <w:br w:type="textWrapping" w:clear="all"/>
        <w:t xml:space="preserve">Комитетом по финансам в установленном им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"consultantplus://offline/ref=5CF85D1600645C2BE659A480939352ABE2063F66652DEC8BABFC7088BF29854D533896B351DE94CCFC1BD0DD91620D00B3C13087946393DDH9hEI"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 xml:space="preserve">порядке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в </w:t>
      </w:r>
      <w:r>
        <w:rPr>
          <w:rFonts w:ascii="PT Astra Serif" w:hAnsi="PT Astra Serif" w:cs="PT Astra Serif"/>
          <w:sz w:val="28"/>
          <w:szCs w:val="28"/>
        </w:rPr>
        <w:t xml:space="preserve">202</w:t>
      </w:r>
      <w:r>
        <w:rPr>
          <w:rFonts w:ascii="PT Astra Serif" w:hAnsi="PT Astra Serif" w:cs="PT Astra Serif"/>
          <w:sz w:val="28"/>
          <w:szCs w:val="28"/>
        </w:rPr>
        <w:t xml:space="preserve">4</w:t>
      </w:r>
      <w:r>
        <w:rPr>
          <w:rFonts w:ascii="PT Astra Serif" w:hAnsi="PT Astra Serif" w:cs="PT Astra Serif"/>
          <w:sz w:val="28"/>
          <w:szCs w:val="28"/>
        </w:rPr>
        <w:t xml:space="preserve"> год</w:t>
      </w:r>
      <w:r>
        <w:rPr>
          <w:rFonts w:ascii="PT Astra Serif" w:hAnsi="PT Astra Serif" w:cs="PT Astra Serif"/>
          <w:sz w:val="28"/>
          <w:szCs w:val="28"/>
        </w:rPr>
        <w:t xml:space="preserve">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проводился мониторинг качества финансового менеджмента за 202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 год.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По результатам мониторинга главным администраторам бюджетных средств направлены предложения и рекомендации по повышению качества (совершенствованию) финансового менеджмента.</w:t>
      </w:r>
    </w:p>
    <w:p>
      <w:pPr>
        <w:pStyle w:val="Normal"/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</w:r>
    </w:p>
    <w:sectPr>
      <w:type w:val="nextPage"/>
      <w:pgSz w:w="11906" w:h="16838"/>
      <w:pgMar w:top="426" w:right="566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T Astra Serif">
    <w:panose1 w:val="020A0603040505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/>
  <w:compat>
    <w:spaceForUL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achedColBalance w:val="true"/>
    <w:compatSetting w:name="compatibilityMode" w:uri="http://schemas.microsoft.com/office/word" w:val="11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>
    <w:name w:val="Normal"/>
    <w:aliases w:val="Обычный"/>
    <w:next w:val="Normal"/>
    <w:link w:val="Normal"/>
    <w:qFormat/>
    <w:pPr>
      <w:widowControl w:val="off"/>
      <w:spacing w:line="360" w:lineRule="atLeast"/>
      <w:jc w:val="both"/>
    </w:pPr>
    <w:rPr>
      <w:sz w:val="24"/>
      <w:szCs w:val="24"/>
      <w:lang w:val="ru-RU" w:eastAsia="ru-RU" w:bidi="ar-SA"/>
    </w:rPr>
  </w:style>
  <w:style w:type="character" w:styleId="NormalCharacter">
    <w:name w:val="Основной шрифт абзаца"/>
    <w:next w:val="NormalCharacter"/>
    <w:link w:val="Normal"/>
    <w:semiHidden/>
  </w:style>
  <w:style w:type="table" w:styleId="TableNormal">
    <w:name w:val="Обычная таблица"/>
    <w:next w:val="TableNormal"/>
    <w:link w:val="Normal"/>
    <w:semiHidden/>
  </w:style>
  <w:style w:type="numbering" w:styleId="NormalList">
    <w:name w:val="Нет списка"/>
    <w:next w:val="NormalList"/>
    <w:link w:val="Normal"/>
    <w:semiHidden/>
  </w:style>
  <w:style w:type="character" w:styleId="Hyperlink">
    <w:name w:val="Гиперссылка"/>
    <w:next w:val="Hyperlink"/>
    <w:link w:val="Normal"/>
    <w:rPr>
      <w:color w:val="0000ff"/>
      <w:u w:val="single"/>
    </w:rPr>
  </w:style>
  <w:style w:type="paragraph" w:styleId="UserStyle_0">
    <w:name w:val=" Знак Знак"/>
    <w:basedOn w:val="Normal"/>
    <w:next w:val="UserStyle_0"/>
    <w:link w:val="Normal"/>
    <w:pPr>
      <w:widowControl/>
      <w:spacing w:line="240" w:lineRule="exact"/>
    </w:pPr>
    <w:rPr>
      <w:lang w:val="en-US" w:eastAsia="en-US"/>
    </w:rPr>
  </w:style>
  <w:style w:type="character" w:styleId="UserStyle_1">
    <w:name w:val="Гипертекстовая ссылка"/>
    <w:next w:val="UserStyle_1"/>
    <w:link w:val="Normal"/>
    <w:rPr>
      <w:color w:val="106bbe"/>
      <w:sz w:val="20"/>
      <w:szCs w:val="20"/>
    </w:rPr>
  </w:style>
  <w:style w:type="paragraph" w:styleId="UserStyle_2">
    <w:name w:val="ConsPlusNormal"/>
    <w:next w:val="UserStyle_2"/>
    <w:link w:val="Normal"/>
    <w:pPr>
      <w:widowControl w:val="off"/>
    </w:pPr>
    <w:rPr>
      <w:sz w:val="24"/>
      <w:lang w:val="ru-RU" w:eastAsia="ru-RU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haracters>4161</Characters>
  <CharactersWithSpaces>4882</CharactersWithSpaces>
  <Company>FIN</Company>
  <DocSecurity>0</DocSecurity>
  <HyperlinksChanged>false</HyperlinksChanged>
  <Lines>34</Lines>
  <Pages>2</Pages>
  <Paragraphs>9</Paragraphs>
  <ScaleCrop>false</ScaleCrop>
  <SharedDoc>false</SharedDoc>
  <Template>Normal.dotm</Template>
  <Words>730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ТВАнискина</dc:creator>
  <cp:lastModifiedBy>admins</cp:lastModifiedBy>
  <cp:revision>66</cp:revision>
  <dcterms:created xsi:type="dcterms:W3CDTF">2013-08-09T01:47:00Z</dcterms:created>
  <dcterms:modified xsi:type="dcterms:W3CDTF">2024-12-10T09:30:00Z</dcterms:modified>
  <cp:version>917504</cp:version>
</cp:coreProperties>
</file>